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jc w:val="center"/>
        <w:rPr>
          <w:rFonts w:ascii="宋体" w:hAnsi="宋体"/>
          <w:b/>
          <w:color w:val="auto"/>
          <w:w w:val="80"/>
          <w:sz w:val="44"/>
          <w:szCs w:val="44"/>
          <w:highlight w:val="none"/>
          <w:u w:val="single"/>
        </w:rPr>
      </w:pPr>
      <w:r>
        <w:rPr>
          <w:rFonts w:hint="eastAsia" w:ascii="宋体" w:hAnsi="宋体"/>
          <w:b/>
          <w:color w:val="auto"/>
          <w:w w:val="80"/>
          <w:sz w:val="44"/>
          <w:szCs w:val="44"/>
          <w:highlight w:val="none"/>
          <w:u w:val="single"/>
        </w:rPr>
        <w:t>生产基地厂房及配套用房工程（二期）海绵城市</w:t>
      </w:r>
    </w:p>
    <w:p>
      <w:pPr>
        <w:spacing w:line="360" w:lineRule="auto"/>
        <w:jc w:val="center"/>
        <w:rPr>
          <w:rFonts w:ascii="宋体" w:hAnsi="宋体"/>
          <w:b/>
          <w:bCs/>
          <w:color w:val="auto"/>
          <w:w w:val="80"/>
          <w:sz w:val="44"/>
          <w:szCs w:val="44"/>
          <w:highlight w:val="none"/>
        </w:rPr>
      </w:pPr>
      <w:r>
        <w:rPr>
          <w:rFonts w:hint="eastAsia" w:ascii="宋体" w:hAnsi="宋体" w:cs="黑体"/>
          <w:b/>
          <w:color w:val="auto"/>
          <w:w w:val="80"/>
          <w:sz w:val="44"/>
          <w:szCs w:val="44"/>
          <w:highlight w:val="none"/>
        </w:rPr>
        <w:t>工程设计</w:t>
      </w:r>
    </w:p>
    <w:p>
      <w:pPr>
        <w:snapToGrid w:val="0"/>
        <w:spacing w:line="360" w:lineRule="auto"/>
        <w:jc w:val="center"/>
        <w:rPr>
          <w:rFonts w:ascii="宋体" w:hAnsi="宋体"/>
          <w:b/>
          <w:color w:val="auto"/>
          <w:w w:val="80"/>
          <w:sz w:val="44"/>
          <w:szCs w:val="44"/>
          <w:highlight w:val="none"/>
        </w:rPr>
      </w:pPr>
    </w:p>
    <w:p>
      <w:pPr>
        <w:snapToGrid w:val="0"/>
        <w:spacing w:line="360" w:lineRule="auto"/>
        <w:jc w:val="center"/>
        <w:rPr>
          <w:rFonts w:ascii="宋体" w:hAnsi="宋体"/>
          <w:b/>
          <w:color w:val="auto"/>
          <w:w w:val="80"/>
          <w:sz w:val="44"/>
          <w:szCs w:val="44"/>
          <w:highlight w:val="none"/>
        </w:rPr>
      </w:pPr>
      <w:r>
        <w:rPr>
          <w:rFonts w:ascii="宋体" w:hAnsi="宋体"/>
          <w:b/>
          <w:color w:val="auto"/>
          <w:w w:val="80"/>
          <w:sz w:val="44"/>
          <w:szCs w:val="44"/>
          <w:highlight w:val="none"/>
        </w:rPr>
        <w:t>服</w:t>
      </w:r>
    </w:p>
    <w:p>
      <w:pPr>
        <w:snapToGrid w:val="0"/>
        <w:spacing w:line="360" w:lineRule="auto"/>
        <w:jc w:val="center"/>
        <w:rPr>
          <w:rFonts w:ascii="宋体" w:hAnsi="宋体"/>
          <w:b/>
          <w:color w:val="auto"/>
          <w:w w:val="80"/>
          <w:sz w:val="44"/>
          <w:szCs w:val="44"/>
          <w:highlight w:val="none"/>
        </w:rPr>
      </w:pPr>
      <w:r>
        <w:rPr>
          <w:rFonts w:ascii="宋体" w:hAnsi="宋体"/>
          <w:b/>
          <w:color w:val="auto"/>
          <w:w w:val="80"/>
          <w:sz w:val="44"/>
          <w:szCs w:val="44"/>
          <w:highlight w:val="none"/>
        </w:rPr>
        <w:t>务</w:t>
      </w:r>
    </w:p>
    <w:p>
      <w:pPr>
        <w:snapToGrid w:val="0"/>
        <w:spacing w:line="360" w:lineRule="auto"/>
        <w:jc w:val="center"/>
        <w:rPr>
          <w:rFonts w:ascii="宋体" w:hAnsi="宋体"/>
          <w:b/>
          <w:color w:val="auto"/>
          <w:w w:val="80"/>
          <w:sz w:val="44"/>
          <w:szCs w:val="44"/>
          <w:highlight w:val="none"/>
        </w:rPr>
      </w:pPr>
      <w:r>
        <w:rPr>
          <w:rFonts w:ascii="宋体" w:hAnsi="宋体"/>
          <w:b/>
          <w:color w:val="auto"/>
          <w:w w:val="80"/>
          <w:sz w:val="44"/>
          <w:szCs w:val="44"/>
          <w:highlight w:val="none"/>
        </w:rPr>
        <w:t>合</w:t>
      </w:r>
    </w:p>
    <w:p>
      <w:pPr>
        <w:snapToGrid w:val="0"/>
        <w:spacing w:line="360" w:lineRule="auto"/>
        <w:jc w:val="center"/>
        <w:rPr>
          <w:rFonts w:ascii="宋体" w:hAnsi="宋体"/>
          <w:b/>
          <w:color w:val="auto"/>
          <w:w w:val="80"/>
          <w:sz w:val="44"/>
          <w:szCs w:val="44"/>
          <w:highlight w:val="none"/>
        </w:rPr>
      </w:pPr>
      <w:r>
        <w:rPr>
          <w:rFonts w:ascii="宋体" w:hAnsi="宋体"/>
          <w:b/>
          <w:color w:val="auto"/>
          <w:w w:val="80"/>
          <w:sz w:val="44"/>
          <w:szCs w:val="44"/>
          <w:highlight w:val="none"/>
        </w:rPr>
        <w:t>同</w:t>
      </w:r>
    </w:p>
    <w:p>
      <w:pPr>
        <w:spacing w:line="360" w:lineRule="auto"/>
        <w:jc w:val="center"/>
        <w:rPr>
          <w:rFonts w:ascii="宋体" w:hAnsi="宋体"/>
          <w:b/>
          <w:bCs/>
          <w:color w:val="auto"/>
          <w:w w:val="80"/>
          <w:sz w:val="44"/>
          <w:szCs w:val="44"/>
          <w:highlight w:val="none"/>
        </w:rPr>
      </w:pPr>
      <w:r>
        <w:rPr>
          <w:rFonts w:ascii="宋体" w:hAnsi="宋体"/>
          <w:b/>
          <w:color w:val="auto"/>
          <w:w w:val="80"/>
          <w:sz w:val="44"/>
          <w:szCs w:val="44"/>
          <w:highlight w:val="none"/>
        </w:rPr>
        <w:t>书</w:t>
      </w:r>
    </w:p>
    <w:p>
      <w:pPr>
        <w:spacing w:line="360" w:lineRule="auto"/>
        <w:jc w:val="center"/>
        <w:rPr>
          <w:rFonts w:ascii="宋体" w:hAnsi="宋体"/>
          <w:b/>
          <w:bCs/>
          <w:color w:val="auto"/>
          <w:w w:val="80"/>
          <w:sz w:val="28"/>
          <w:szCs w:val="32"/>
          <w:highlight w:val="none"/>
        </w:rPr>
      </w:pPr>
    </w:p>
    <w:tbl>
      <w:tblPr>
        <w:tblStyle w:val="4"/>
        <w:tblW w:w="0" w:type="auto"/>
        <w:jc w:val="center"/>
        <w:tblLayout w:type="fixed"/>
        <w:tblCellMar>
          <w:top w:w="0" w:type="dxa"/>
          <w:left w:w="0" w:type="dxa"/>
          <w:bottom w:w="0" w:type="dxa"/>
          <w:right w:w="0" w:type="dxa"/>
        </w:tblCellMar>
      </w:tblPr>
      <w:tblGrid>
        <w:gridCol w:w="8106"/>
      </w:tblGrid>
      <w:tr>
        <w:tblPrEx>
          <w:tblCellMar>
            <w:top w:w="0" w:type="dxa"/>
            <w:left w:w="0" w:type="dxa"/>
            <w:bottom w:w="0" w:type="dxa"/>
            <w:right w:w="0" w:type="dxa"/>
          </w:tblCellMar>
        </w:tblPrEx>
        <w:trPr>
          <w:jc w:val="center"/>
        </w:trPr>
        <w:tc>
          <w:tcPr>
            <w:tcW w:w="8106" w:type="dxa"/>
            <w:vAlign w:val="center"/>
          </w:tcPr>
          <w:p>
            <w:pPr>
              <w:spacing w:line="360" w:lineRule="auto"/>
              <w:rPr>
                <w:rFonts w:ascii="宋体" w:hAnsi="宋体"/>
                <w:color w:val="auto"/>
                <w:w w:val="80"/>
                <w:sz w:val="28"/>
                <w:highlight w:val="none"/>
                <w:u w:val="single"/>
              </w:rPr>
            </w:pPr>
            <w:r>
              <w:rPr>
                <w:rFonts w:hint="eastAsia" w:ascii="宋体" w:hAnsi="宋体" w:cs="黑体"/>
                <w:color w:val="auto"/>
                <w:w w:val="80"/>
                <w:sz w:val="28"/>
                <w:szCs w:val="30"/>
                <w:highlight w:val="none"/>
              </w:rPr>
              <w:t>工 程 名 称：</w:t>
            </w:r>
            <w:r>
              <w:rPr>
                <w:rFonts w:hint="eastAsia" w:ascii="宋体" w:hAnsi="宋体" w:cs="黑体"/>
                <w:color w:val="auto"/>
                <w:w w:val="80"/>
                <w:sz w:val="28"/>
                <w:szCs w:val="30"/>
                <w:highlight w:val="none"/>
                <w:u w:val="single"/>
              </w:rPr>
              <w:t>生产基地厂房及配套用房工程（二期）海绵城市</w:t>
            </w:r>
          </w:p>
          <w:p>
            <w:pPr>
              <w:spacing w:line="360" w:lineRule="auto"/>
              <w:rPr>
                <w:rFonts w:ascii="宋体" w:hAnsi="宋体"/>
                <w:color w:val="auto"/>
                <w:w w:val="80"/>
                <w:sz w:val="28"/>
                <w:highlight w:val="none"/>
                <w:u w:val="single"/>
              </w:rPr>
            </w:pPr>
            <w:r>
              <w:rPr>
                <w:rFonts w:hint="eastAsia" w:ascii="宋体" w:hAnsi="宋体" w:cs="黑体"/>
                <w:color w:val="auto"/>
                <w:w w:val="80"/>
                <w:sz w:val="28"/>
                <w:szCs w:val="30"/>
                <w:highlight w:val="none"/>
              </w:rPr>
              <w:t>工 程 地 点</w:t>
            </w:r>
            <w:r>
              <w:rPr>
                <w:rFonts w:ascii="宋体" w:hAnsi="宋体" w:cs="黑体"/>
                <w:color w:val="auto"/>
                <w:w w:val="80"/>
                <w:sz w:val="28"/>
                <w:szCs w:val="30"/>
                <w:highlight w:val="none"/>
              </w:rPr>
              <w:t>:</w:t>
            </w:r>
            <w:r>
              <w:rPr>
                <w:rFonts w:ascii="宋体" w:hAnsi="宋体"/>
                <w:color w:val="auto"/>
                <w:w w:val="80"/>
                <w:sz w:val="28"/>
                <w:highlight w:val="none"/>
              </w:rPr>
              <w:t xml:space="preserve"> </w:t>
            </w:r>
            <w:r>
              <w:rPr>
                <w:rFonts w:ascii="宋体" w:hAnsi="宋体"/>
                <w:color w:val="auto"/>
                <w:w w:val="80"/>
                <w:sz w:val="28"/>
                <w:highlight w:val="none"/>
                <w:u w:val="single"/>
              </w:rPr>
              <w:t xml:space="preserve">        </w:t>
            </w:r>
            <w:r>
              <w:rPr>
                <w:rFonts w:hint="eastAsia" w:ascii="宋体" w:hAnsi="宋体" w:cs="宋体"/>
                <w:b/>
                <w:bCs/>
                <w:color w:val="auto"/>
                <w:w w:val="80"/>
                <w:sz w:val="28"/>
                <w:szCs w:val="30"/>
                <w:highlight w:val="none"/>
                <w:u w:val="single"/>
              </w:rPr>
              <w:t>黄埔区云埔工业区方达路2号</w:t>
            </w:r>
            <w:r>
              <w:rPr>
                <w:rFonts w:hint="eastAsia" w:ascii="宋体" w:hAnsi="宋体" w:cs="黑体"/>
                <w:color w:val="auto"/>
                <w:w w:val="80"/>
                <w:sz w:val="28"/>
                <w:szCs w:val="30"/>
                <w:highlight w:val="none"/>
                <w:u w:val="single"/>
              </w:rPr>
              <w:t xml:space="preserve">     </w:t>
            </w:r>
            <w:r>
              <w:rPr>
                <w:rFonts w:hint="eastAsia" w:ascii="宋体" w:hAnsi="宋体"/>
                <w:color w:val="auto"/>
                <w:w w:val="80"/>
                <w:sz w:val="28"/>
                <w:highlight w:val="none"/>
                <w:u w:val="single"/>
              </w:rPr>
              <w:t xml:space="preserve">  </w:t>
            </w:r>
          </w:p>
          <w:p>
            <w:pPr>
              <w:spacing w:line="360" w:lineRule="auto"/>
              <w:rPr>
                <w:rFonts w:ascii="宋体" w:hAnsi="宋体"/>
                <w:color w:val="auto"/>
                <w:w w:val="80"/>
                <w:sz w:val="28"/>
                <w:highlight w:val="none"/>
                <w:u w:val="single"/>
              </w:rPr>
            </w:pPr>
            <w:r>
              <w:rPr>
                <w:rFonts w:hint="eastAsia" w:ascii="宋体" w:hAnsi="宋体" w:cs="黑体"/>
                <w:color w:val="auto"/>
                <w:w w:val="80"/>
                <w:sz w:val="28"/>
                <w:szCs w:val="30"/>
                <w:highlight w:val="none"/>
              </w:rPr>
              <w:t>合 同 编 号：</w:t>
            </w:r>
            <w:r>
              <w:rPr>
                <w:rFonts w:hint="eastAsia" w:ascii="宋体" w:hAnsi="宋体"/>
                <w:color w:val="auto"/>
                <w:w w:val="80"/>
                <w:sz w:val="28"/>
                <w:highlight w:val="none"/>
                <w:u w:val="single"/>
              </w:rPr>
              <w:t xml:space="preserve">       </w:t>
            </w:r>
            <w:r>
              <w:rPr>
                <w:rFonts w:hint="eastAsia" w:ascii="宋体" w:hAnsi="宋体" w:cs="黑体"/>
                <w:color w:val="auto"/>
                <w:w w:val="80"/>
                <w:sz w:val="28"/>
                <w:szCs w:val="30"/>
                <w:highlight w:val="none"/>
                <w:u w:val="single"/>
              </w:rPr>
              <w:t xml:space="preserve"> </w:t>
            </w:r>
            <w:r>
              <w:rPr>
                <w:rFonts w:hint="eastAsia" w:ascii="宋体" w:hAnsi="宋体" w:cs="黑体"/>
                <w:color w:val="auto"/>
                <w:w w:val="80"/>
                <w:sz w:val="28"/>
                <w:szCs w:val="30"/>
                <w:highlight w:val="none"/>
                <w:u w:val="single"/>
              </w:rPr>
              <w:t>HPSJHT-（2021）00</w:t>
            </w:r>
            <w:r>
              <w:rPr>
                <w:rFonts w:hint="eastAsia" w:ascii="宋体" w:hAnsi="宋体" w:cs="黑体"/>
                <w:color w:val="auto"/>
                <w:w w:val="80"/>
                <w:sz w:val="28"/>
                <w:szCs w:val="30"/>
                <w:highlight w:val="none"/>
                <w:u w:val="single"/>
                <w:lang w:val="en-US" w:eastAsia="zh-CN"/>
              </w:rPr>
              <w:t>1</w:t>
            </w:r>
            <w:r>
              <w:rPr>
                <w:rFonts w:hint="eastAsia" w:ascii="宋体" w:hAnsi="宋体" w:cs="黑体"/>
                <w:color w:val="auto"/>
                <w:w w:val="80"/>
                <w:sz w:val="28"/>
                <w:szCs w:val="30"/>
                <w:highlight w:val="none"/>
                <w:u w:val="single"/>
              </w:rPr>
              <w:t xml:space="preserve">      </w:t>
            </w:r>
            <w:bookmarkStart w:id="1" w:name="_GoBack"/>
            <w:bookmarkEnd w:id="1"/>
            <w:r>
              <w:rPr>
                <w:rFonts w:hint="eastAsia" w:ascii="宋体" w:hAnsi="宋体" w:cs="黑体"/>
                <w:color w:val="auto"/>
                <w:w w:val="80"/>
                <w:sz w:val="28"/>
                <w:szCs w:val="30"/>
                <w:highlight w:val="none"/>
                <w:u w:val="single"/>
              </w:rPr>
              <w:t xml:space="preserve">        </w:t>
            </w:r>
          </w:p>
          <w:p>
            <w:pPr>
              <w:spacing w:line="360" w:lineRule="auto"/>
              <w:rPr>
                <w:rFonts w:ascii="宋体" w:hAnsi="宋体"/>
                <w:color w:val="auto"/>
                <w:w w:val="80"/>
                <w:sz w:val="28"/>
                <w:highlight w:val="none"/>
                <w:u w:val="single"/>
              </w:rPr>
            </w:pPr>
            <w:r>
              <w:rPr>
                <w:rFonts w:hint="eastAsia" w:ascii="宋体" w:hAnsi="宋体" w:cs="黑体"/>
                <w:color w:val="auto"/>
                <w:w w:val="80"/>
                <w:sz w:val="28"/>
                <w:szCs w:val="30"/>
                <w:highlight w:val="none"/>
              </w:rPr>
              <w:t>发   包  人：</w:t>
            </w:r>
            <w:r>
              <w:rPr>
                <w:rFonts w:hint="eastAsia" w:ascii="宋体" w:hAnsi="宋体"/>
                <w:color w:val="auto"/>
                <w:w w:val="80"/>
                <w:sz w:val="28"/>
                <w:highlight w:val="none"/>
                <w:u w:val="single"/>
              </w:rPr>
              <w:t xml:space="preserve"> </w:t>
            </w:r>
            <w:r>
              <w:rPr>
                <w:rFonts w:hint="eastAsia" w:ascii="宋体" w:hAnsi="宋体" w:cs="宋体"/>
                <w:color w:val="auto"/>
                <w:w w:val="80"/>
                <w:sz w:val="28"/>
                <w:highlight w:val="none"/>
                <w:u w:val="single"/>
              </w:rPr>
              <w:t xml:space="preserve">  </w:t>
            </w:r>
            <w:r>
              <w:rPr>
                <w:rFonts w:ascii="宋体" w:hAnsi="宋体" w:cs="宋体"/>
                <w:color w:val="auto"/>
                <w:w w:val="80"/>
                <w:sz w:val="28"/>
                <w:highlight w:val="none"/>
                <w:u w:val="single"/>
              </w:rPr>
              <w:t xml:space="preserve">      </w:t>
            </w:r>
            <w:r>
              <w:rPr>
                <w:rFonts w:hint="eastAsia" w:ascii="宋体" w:hAnsi="宋体"/>
                <w:b/>
                <w:color w:val="auto"/>
                <w:w w:val="80"/>
                <w:sz w:val="28"/>
                <w:szCs w:val="28"/>
                <w:highlight w:val="none"/>
                <w:u w:val="single"/>
              </w:rPr>
              <w:t>黑牛食品（广州）有限公司</w:t>
            </w:r>
            <w:r>
              <w:rPr>
                <w:rFonts w:hint="eastAsia" w:ascii="宋体" w:hAnsi="宋体" w:cs="黑体"/>
                <w:color w:val="auto"/>
                <w:w w:val="80"/>
                <w:sz w:val="28"/>
                <w:szCs w:val="30"/>
                <w:highlight w:val="none"/>
                <w:u w:val="single"/>
              </w:rPr>
              <w:t xml:space="preserve">  </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u w:val="single"/>
              </w:rPr>
              <w:t xml:space="preserve">   </w:t>
            </w:r>
          </w:p>
          <w:p>
            <w:pPr>
              <w:spacing w:line="360" w:lineRule="auto"/>
              <w:rPr>
                <w:rFonts w:ascii="宋体" w:hAnsi="宋体"/>
                <w:color w:val="auto"/>
                <w:w w:val="80"/>
                <w:sz w:val="28"/>
                <w:highlight w:val="none"/>
                <w:u w:val="single"/>
              </w:rPr>
            </w:pPr>
            <w:r>
              <w:rPr>
                <w:rFonts w:hint="eastAsia" w:ascii="宋体" w:hAnsi="宋体" w:cs="黑体"/>
                <w:color w:val="auto"/>
                <w:w w:val="80"/>
                <w:sz w:val="28"/>
                <w:szCs w:val="30"/>
                <w:highlight w:val="none"/>
              </w:rPr>
              <w:t>设   计  人：</w:t>
            </w:r>
            <w:r>
              <w:rPr>
                <w:rFonts w:ascii="宋体" w:hAnsi="宋体"/>
                <w:color w:val="auto"/>
                <w:w w:val="80"/>
                <w:sz w:val="28"/>
                <w:highlight w:val="none"/>
                <w:u w:val="single"/>
              </w:rPr>
              <w:t xml:space="preserve"> </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u w:val="single"/>
              </w:rPr>
              <w:t xml:space="preserve">                    </w:t>
            </w:r>
            <w:r>
              <w:rPr>
                <w:rFonts w:hint="eastAsia" w:ascii="宋体" w:hAnsi="宋体" w:cs="黑体"/>
                <w:color w:val="auto"/>
                <w:w w:val="80"/>
                <w:sz w:val="28"/>
                <w:szCs w:val="30"/>
                <w:highlight w:val="none"/>
                <w:u w:val="single"/>
              </w:rPr>
              <w:t xml:space="preserve">  </w:t>
            </w:r>
            <w:r>
              <w:rPr>
                <w:rFonts w:ascii="宋体" w:hAnsi="宋体" w:cs="黑体"/>
                <w:color w:val="auto"/>
                <w:w w:val="80"/>
                <w:sz w:val="28"/>
                <w:szCs w:val="30"/>
                <w:highlight w:val="none"/>
                <w:u w:val="single"/>
              </w:rPr>
              <w:t xml:space="preserve">   </w:t>
            </w:r>
            <w:r>
              <w:rPr>
                <w:rFonts w:hint="eastAsia" w:ascii="宋体" w:hAnsi="宋体" w:cs="黑体"/>
                <w:color w:val="auto"/>
                <w:w w:val="80"/>
                <w:sz w:val="28"/>
                <w:szCs w:val="30"/>
                <w:highlight w:val="none"/>
                <w:u w:val="single"/>
              </w:rPr>
              <w:t xml:space="preserve"> </w:t>
            </w:r>
            <w:r>
              <w:rPr>
                <w:rFonts w:hint="eastAsia" w:ascii="宋体" w:hAnsi="宋体"/>
                <w:color w:val="auto"/>
                <w:w w:val="80"/>
                <w:sz w:val="28"/>
                <w:highlight w:val="none"/>
                <w:u w:val="single"/>
              </w:rPr>
              <w:t xml:space="preserve">   </w:t>
            </w:r>
          </w:p>
          <w:p>
            <w:pPr>
              <w:jc w:val="left"/>
              <w:rPr>
                <w:rFonts w:ascii="宋体" w:hAnsi="宋体"/>
                <w:color w:val="auto"/>
                <w:w w:val="80"/>
                <w:sz w:val="28"/>
                <w:highlight w:val="none"/>
                <w:u w:val="single"/>
              </w:rPr>
            </w:pPr>
            <w:r>
              <w:rPr>
                <w:rFonts w:hint="eastAsia" w:ascii="宋体" w:hAnsi="宋体" w:cs="黑体"/>
                <w:color w:val="auto"/>
                <w:w w:val="80"/>
                <w:sz w:val="28"/>
                <w:szCs w:val="30"/>
                <w:highlight w:val="none"/>
              </w:rPr>
              <w:t xml:space="preserve">签 订 日 期 </w:t>
            </w:r>
            <w:r>
              <w:rPr>
                <w:rFonts w:hint="eastAsia" w:ascii="宋体" w:hAnsi="宋体"/>
                <w:color w:val="auto"/>
                <w:w w:val="80"/>
                <w:sz w:val="28"/>
                <w:highlight w:val="none"/>
              </w:rPr>
              <w:t>：</w:t>
            </w:r>
            <w:r>
              <w:rPr>
                <w:rFonts w:hint="eastAsia" w:ascii="宋体" w:hAnsi="宋体"/>
                <w:color w:val="auto"/>
                <w:w w:val="80"/>
                <w:sz w:val="28"/>
                <w:highlight w:val="none"/>
                <w:u w:val="single"/>
              </w:rPr>
              <w:t xml:space="preserve">         </w:t>
            </w:r>
            <w:r>
              <w:rPr>
                <w:rFonts w:hint="eastAsia" w:ascii="宋体" w:hAnsi="宋体" w:cs="黑体"/>
                <w:color w:val="auto"/>
                <w:w w:val="80"/>
                <w:sz w:val="28"/>
                <w:szCs w:val="30"/>
                <w:highlight w:val="none"/>
                <w:u w:val="single"/>
              </w:rPr>
              <w:t xml:space="preserve"> </w:t>
            </w:r>
            <w:r>
              <w:rPr>
                <w:rFonts w:ascii="宋体" w:hAnsi="宋体" w:cs="黑体"/>
                <w:color w:val="auto"/>
                <w:w w:val="80"/>
                <w:sz w:val="28"/>
                <w:szCs w:val="30"/>
                <w:highlight w:val="none"/>
                <w:u w:val="single"/>
              </w:rPr>
              <w:t xml:space="preserve">     </w:t>
            </w:r>
            <w:r>
              <w:rPr>
                <w:rFonts w:hint="eastAsia" w:ascii="宋体" w:hAnsi="宋体" w:cs="黑体"/>
                <w:color w:val="auto"/>
                <w:w w:val="80"/>
                <w:sz w:val="28"/>
                <w:szCs w:val="30"/>
                <w:highlight w:val="none"/>
                <w:u w:val="single"/>
              </w:rPr>
              <w:t xml:space="preserve">        </w:t>
            </w:r>
            <w:r>
              <w:rPr>
                <w:rFonts w:ascii="宋体" w:hAnsi="宋体" w:cs="黑体"/>
                <w:color w:val="auto"/>
                <w:w w:val="80"/>
                <w:sz w:val="28"/>
                <w:szCs w:val="30"/>
                <w:highlight w:val="none"/>
                <w:u w:val="single"/>
              </w:rPr>
              <w:t xml:space="preserve"> </w:t>
            </w:r>
            <w:r>
              <w:rPr>
                <w:rFonts w:hint="eastAsia" w:ascii="宋体" w:hAnsi="宋体" w:cs="黑体"/>
                <w:color w:val="auto"/>
                <w:w w:val="80"/>
                <w:sz w:val="28"/>
                <w:szCs w:val="30"/>
                <w:highlight w:val="none"/>
                <w:u w:val="single"/>
              </w:rPr>
              <w:t xml:space="preserve"> </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u w:val="single"/>
              </w:rPr>
              <w:t xml:space="preserve">          </w:t>
            </w:r>
          </w:p>
        </w:tc>
      </w:tr>
    </w:tbl>
    <w:p>
      <w:pPr>
        <w:spacing w:line="360" w:lineRule="auto"/>
        <w:jc w:val="center"/>
        <w:rPr>
          <w:rFonts w:ascii="宋体" w:hAnsi="宋体"/>
          <w:color w:val="auto"/>
          <w:w w:val="80"/>
          <w:sz w:val="28"/>
          <w:highlight w:val="none"/>
        </w:rPr>
      </w:pPr>
    </w:p>
    <w:p>
      <w:pPr>
        <w:spacing w:line="360" w:lineRule="auto"/>
        <w:jc w:val="center"/>
        <w:rPr>
          <w:rFonts w:ascii="宋体" w:hAnsi="宋体"/>
          <w:color w:val="auto"/>
          <w:w w:val="80"/>
          <w:sz w:val="28"/>
          <w:highlight w:val="none"/>
        </w:rPr>
      </w:pPr>
    </w:p>
    <w:p>
      <w:pPr>
        <w:spacing w:line="360" w:lineRule="auto"/>
        <w:jc w:val="center"/>
        <w:rPr>
          <w:rFonts w:ascii="宋体" w:hAnsi="宋体"/>
          <w:color w:val="auto"/>
          <w:w w:val="80"/>
          <w:sz w:val="28"/>
          <w:highlight w:val="none"/>
        </w:rPr>
      </w:pPr>
    </w:p>
    <w:p>
      <w:pPr>
        <w:spacing w:line="360" w:lineRule="auto"/>
        <w:rPr>
          <w:rFonts w:ascii="宋体" w:hAnsi="宋体"/>
          <w:color w:val="auto"/>
          <w:w w:val="80"/>
          <w:sz w:val="28"/>
          <w:highlight w:val="none"/>
        </w:rPr>
      </w:pPr>
    </w:p>
    <w:p>
      <w:pPr>
        <w:spacing w:line="360" w:lineRule="auto"/>
        <w:rPr>
          <w:rFonts w:ascii="宋体" w:hAnsi="宋体"/>
          <w:color w:val="auto"/>
          <w:w w:val="80"/>
          <w:sz w:val="28"/>
          <w:highlight w:val="none"/>
        </w:rPr>
      </w:pPr>
    </w:p>
    <w:p>
      <w:pPr>
        <w:spacing w:line="400" w:lineRule="exact"/>
        <w:rPr>
          <w:rFonts w:ascii="宋体" w:hAnsi="宋体"/>
          <w:b/>
          <w:color w:val="auto"/>
          <w:w w:val="80"/>
          <w:sz w:val="28"/>
          <w:highlight w:val="none"/>
        </w:rPr>
      </w:pPr>
      <w:r>
        <w:rPr>
          <w:rFonts w:hint="eastAsia" w:ascii="宋体" w:hAnsi="宋体"/>
          <w:b/>
          <w:color w:val="auto"/>
          <w:w w:val="80"/>
          <w:sz w:val="28"/>
          <w:highlight w:val="none"/>
        </w:rPr>
        <w:t>发包人：</w:t>
      </w:r>
      <w:r>
        <w:rPr>
          <w:rFonts w:hint="eastAsia" w:ascii="宋体" w:hAnsi="宋体" w:cs="宋体"/>
          <w:b/>
          <w:color w:val="auto"/>
          <w:w w:val="80"/>
          <w:sz w:val="28"/>
          <w:highlight w:val="none"/>
          <w:u w:val="single"/>
        </w:rPr>
        <w:t>黑牛食品（广州）有限公司(以下简称甲方)</w:t>
      </w:r>
      <w:r>
        <w:rPr>
          <w:rFonts w:hint="eastAsia" w:ascii="宋体" w:hAnsi="宋体"/>
          <w:b/>
          <w:color w:val="auto"/>
          <w:w w:val="80"/>
          <w:sz w:val="28"/>
          <w:highlight w:val="none"/>
        </w:rPr>
        <w:t xml:space="preserve">  </w:t>
      </w:r>
      <w:r>
        <w:rPr>
          <w:rFonts w:hint="eastAsia" w:ascii="宋体" w:hAnsi="宋体" w:cs="宋体"/>
          <w:b/>
          <w:bCs/>
          <w:color w:val="auto"/>
          <w:w w:val="80"/>
          <w:sz w:val="28"/>
          <w:highlight w:val="none"/>
        </w:rPr>
        <w:t>统</w:t>
      </w:r>
      <w:r>
        <w:rPr>
          <w:rFonts w:hint="eastAsia" w:ascii="宋体" w:hAnsi="宋体"/>
          <w:b/>
          <w:color w:val="auto"/>
          <w:w w:val="80"/>
          <w:sz w:val="28"/>
          <w:highlight w:val="none"/>
        </w:rPr>
        <w:t>一社会信用代码：91440101583366329Y</w:t>
      </w:r>
    </w:p>
    <w:p>
      <w:pPr>
        <w:spacing w:line="400" w:lineRule="exact"/>
        <w:rPr>
          <w:rFonts w:ascii="宋体" w:hAnsi="宋体"/>
          <w:b/>
          <w:color w:val="auto"/>
          <w:w w:val="80"/>
          <w:sz w:val="28"/>
          <w:highlight w:val="none"/>
        </w:rPr>
      </w:pPr>
      <w:r>
        <w:rPr>
          <w:rFonts w:hint="eastAsia" w:ascii="宋体" w:hAnsi="宋体"/>
          <w:b/>
          <w:color w:val="auto"/>
          <w:w w:val="80"/>
          <w:sz w:val="28"/>
          <w:highlight w:val="none"/>
        </w:rPr>
        <w:t>设计人：</w:t>
      </w:r>
      <w:r>
        <w:rPr>
          <w:rFonts w:hint="eastAsia" w:ascii="宋体" w:hAnsi="宋体"/>
          <w:b/>
          <w:color w:val="auto"/>
          <w:w w:val="80"/>
          <w:sz w:val="28"/>
          <w:highlight w:val="none"/>
          <w:u w:val="single"/>
        </w:rPr>
        <w:t xml:space="preserve">                     </w:t>
      </w:r>
      <w:r>
        <w:rPr>
          <w:rFonts w:hint="eastAsia" w:ascii="宋体" w:hAnsi="宋体"/>
          <w:b/>
          <w:color w:val="auto"/>
          <w:w w:val="80"/>
          <w:sz w:val="28"/>
          <w:highlight w:val="none"/>
          <w:u w:val="single"/>
          <w:lang w:val="en-US" w:eastAsia="zh-CN"/>
        </w:rPr>
        <w:t xml:space="preserve">   </w:t>
      </w:r>
      <w:r>
        <w:rPr>
          <w:rFonts w:hint="eastAsia" w:ascii="宋体" w:hAnsi="宋体"/>
          <w:b/>
          <w:color w:val="auto"/>
          <w:w w:val="80"/>
          <w:sz w:val="28"/>
          <w:highlight w:val="none"/>
          <w:u w:val="single"/>
        </w:rPr>
        <w:t>(以下简称乙方)</w:t>
      </w:r>
      <w:r>
        <w:rPr>
          <w:rFonts w:hint="eastAsia" w:ascii="宋体" w:hAnsi="宋体"/>
          <w:b/>
          <w:color w:val="auto"/>
          <w:w w:val="80"/>
          <w:sz w:val="28"/>
          <w:highlight w:val="none"/>
        </w:rPr>
        <w:t xml:space="preserve">  统一社会信用代码：</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根据《民法典》及国家有关法规规定，承包人承包发包人生产基地厂房及配套用房工程（二期）海绵城市工程设计，结合本工程的具体情况，为明确责任，协作配合，确保工程质量，经发包人、承包人协商一致，签订本合同，共同遵守。</w:t>
      </w:r>
    </w:p>
    <w:p>
      <w:pPr>
        <w:spacing w:line="400" w:lineRule="exact"/>
        <w:ind w:firstLine="450" w:firstLineChars="200"/>
        <w:rPr>
          <w:rFonts w:ascii="宋体" w:hAnsi="宋体"/>
          <w:bCs/>
          <w:color w:val="auto"/>
          <w:w w:val="80"/>
          <w:sz w:val="28"/>
          <w:highlight w:val="none"/>
        </w:rPr>
      </w:pPr>
      <w:r>
        <w:rPr>
          <w:rFonts w:hint="eastAsia" w:ascii="宋体" w:hAnsi="宋体"/>
          <w:b/>
          <w:color w:val="auto"/>
          <w:w w:val="80"/>
          <w:sz w:val="28"/>
          <w:highlight w:val="none"/>
        </w:rPr>
        <w:t xml:space="preserve">第一条 </w:t>
      </w:r>
      <w:r>
        <w:rPr>
          <w:rFonts w:hint="eastAsia" w:ascii="宋体" w:hAnsi="宋体"/>
          <w:bCs/>
          <w:color w:val="auto"/>
          <w:w w:val="80"/>
          <w:sz w:val="28"/>
          <w:highlight w:val="none"/>
        </w:rPr>
        <w:t>工程概况：</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1.1工程名称：</w:t>
      </w:r>
      <w:r>
        <w:rPr>
          <w:rFonts w:hint="eastAsia" w:ascii="宋体" w:hAnsi="宋体" w:cs="黑体"/>
          <w:color w:val="auto"/>
          <w:w w:val="80"/>
          <w:sz w:val="28"/>
          <w:szCs w:val="30"/>
          <w:highlight w:val="none"/>
          <w:u w:val="single"/>
        </w:rPr>
        <w:t>生产基地厂房及配套用房工程（二期）海绵城市设计</w:t>
      </w:r>
      <w:r>
        <w:rPr>
          <w:rFonts w:hint="eastAsia" w:ascii="宋体" w:hAnsi="宋体"/>
          <w:color w:val="auto"/>
          <w:w w:val="80"/>
          <w:sz w:val="28"/>
          <w:highlight w:val="none"/>
        </w:rPr>
        <w:t>工程。</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1.2建设地点：黄埔区云埔工业区方达路2号。　</w:t>
      </w:r>
    </w:p>
    <w:p>
      <w:pPr>
        <w:spacing w:line="400" w:lineRule="exact"/>
        <w:ind w:firstLine="480"/>
        <w:outlineLvl w:val="0"/>
        <w:rPr>
          <w:rFonts w:ascii="宋体" w:hAnsi="宋体"/>
          <w:color w:val="auto"/>
          <w:w w:val="80"/>
          <w:sz w:val="28"/>
          <w:highlight w:val="none"/>
        </w:rPr>
      </w:pPr>
      <w:r>
        <w:rPr>
          <w:rFonts w:hint="eastAsia" w:ascii="宋体" w:hAnsi="宋体"/>
          <w:b/>
          <w:color w:val="auto"/>
          <w:w w:val="80"/>
          <w:sz w:val="28"/>
          <w:highlight w:val="none"/>
        </w:rPr>
        <w:t xml:space="preserve">第二条 </w:t>
      </w:r>
      <w:r>
        <w:rPr>
          <w:rFonts w:hint="eastAsia" w:ascii="宋体" w:hAnsi="宋体"/>
          <w:color w:val="auto"/>
          <w:w w:val="80"/>
          <w:sz w:val="28"/>
          <w:highlight w:val="none"/>
        </w:rPr>
        <w:t>本合同依据下列文件签订：</w:t>
      </w:r>
    </w:p>
    <w:p>
      <w:pPr>
        <w:spacing w:line="400" w:lineRule="exact"/>
        <w:rPr>
          <w:rFonts w:ascii="宋体" w:hAnsi="宋体"/>
          <w:color w:val="auto"/>
          <w:w w:val="80"/>
          <w:sz w:val="28"/>
          <w:highlight w:val="none"/>
        </w:rPr>
      </w:pPr>
      <w:r>
        <w:rPr>
          <w:rFonts w:hint="eastAsia" w:ascii="宋体" w:hAnsi="宋体"/>
          <w:color w:val="auto"/>
          <w:w w:val="80"/>
          <w:sz w:val="28"/>
          <w:highlight w:val="none"/>
        </w:rPr>
        <w:t>　　2</w:t>
      </w:r>
      <w:r>
        <w:rPr>
          <w:rFonts w:ascii="宋体" w:hAnsi="宋体"/>
          <w:color w:val="auto"/>
          <w:w w:val="80"/>
          <w:sz w:val="28"/>
          <w:highlight w:val="none"/>
        </w:rPr>
        <w:t>.1</w:t>
      </w:r>
      <w:r>
        <w:rPr>
          <w:rFonts w:hint="eastAsia" w:ascii="宋体" w:hAnsi="宋体"/>
          <w:color w:val="auto"/>
          <w:w w:val="80"/>
          <w:sz w:val="28"/>
          <w:highlight w:val="none"/>
        </w:rPr>
        <w:t>《中华人民共和国民法典》《中华人民共和国建筑法》《建设工程勘察设计市场管理规定》《广州市海绵城市规划设计导则》。</w:t>
      </w:r>
    </w:p>
    <w:p>
      <w:pPr>
        <w:spacing w:line="400" w:lineRule="exact"/>
        <w:rPr>
          <w:rFonts w:ascii="宋体" w:hAnsi="宋体"/>
          <w:color w:val="auto"/>
          <w:w w:val="80"/>
          <w:sz w:val="28"/>
          <w:highlight w:val="none"/>
        </w:rPr>
      </w:pPr>
      <w:r>
        <w:rPr>
          <w:rFonts w:hint="eastAsia" w:ascii="宋体" w:hAnsi="宋体"/>
          <w:color w:val="auto"/>
          <w:w w:val="80"/>
          <w:sz w:val="28"/>
          <w:highlight w:val="none"/>
        </w:rPr>
        <w:t>　　2</w:t>
      </w:r>
      <w:r>
        <w:rPr>
          <w:rFonts w:ascii="宋体" w:hAnsi="宋体"/>
          <w:color w:val="auto"/>
          <w:w w:val="80"/>
          <w:sz w:val="28"/>
          <w:highlight w:val="none"/>
        </w:rPr>
        <w:t>.2</w:t>
      </w:r>
      <w:r>
        <w:rPr>
          <w:rFonts w:hint="eastAsia" w:ascii="宋体" w:hAnsi="宋体"/>
          <w:color w:val="auto"/>
          <w:w w:val="80"/>
          <w:sz w:val="28"/>
          <w:highlight w:val="none"/>
        </w:rPr>
        <w:t>国家及地方有关建设工程勘察设计管理法规和规章。</w:t>
      </w:r>
    </w:p>
    <w:p>
      <w:pPr>
        <w:spacing w:line="400" w:lineRule="exact"/>
        <w:rPr>
          <w:rFonts w:ascii="宋体" w:hAnsi="宋体"/>
          <w:color w:val="auto"/>
          <w:w w:val="80"/>
          <w:sz w:val="28"/>
          <w:highlight w:val="none"/>
        </w:rPr>
      </w:pPr>
      <w:r>
        <w:rPr>
          <w:rFonts w:hint="eastAsia" w:ascii="宋体" w:hAnsi="宋体"/>
          <w:color w:val="auto"/>
          <w:w w:val="80"/>
          <w:sz w:val="28"/>
          <w:highlight w:val="none"/>
        </w:rPr>
        <w:t>　　2</w:t>
      </w:r>
      <w:r>
        <w:rPr>
          <w:rFonts w:ascii="宋体" w:hAnsi="宋体"/>
          <w:color w:val="auto"/>
          <w:w w:val="80"/>
          <w:sz w:val="28"/>
          <w:highlight w:val="none"/>
        </w:rPr>
        <w:t>.3</w:t>
      </w:r>
      <w:r>
        <w:rPr>
          <w:rFonts w:hint="eastAsia" w:ascii="宋体" w:hAnsi="宋体"/>
          <w:color w:val="auto"/>
          <w:w w:val="80"/>
          <w:sz w:val="28"/>
          <w:highlight w:val="none"/>
        </w:rPr>
        <w:t>建设工程批准文件。</w:t>
      </w:r>
    </w:p>
    <w:p>
      <w:pPr>
        <w:spacing w:line="400" w:lineRule="exact"/>
        <w:ind w:firstLine="450" w:firstLineChars="200"/>
        <w:outlineLvl w:val="0"/>
        <w:rPr>
          <w:rFonts w:ascii="宋体" w:hAnsi="宋体"/>
          <w:b/>
          <w:color w:val="auto"/>
          <w:w w:val="80"/>
          <w:sz w:val="28"/>
          <w:highlight w:val="none"/>
        </w:rPr>
      </w:pPr>
      <w:r>
        <w:rPr>
          <w:rFonts w:hint="eastAsia" w:ascii="宋体" w:hAnsi="宋体"/>
          <w:b/>
          <w:color w:val="auto"/>
          <w:w w:val="80"/>
          <w:sz w:val="28"/>
          <w:highlight w:val="none"/>
        </w:rPr>
        <w:t>第三条　</w:t>
      </w:r>
      <w:r>
        <w:rPr>
          <w:rFonts w:hint="eastAsia" w:ascii="宋体" w:hAnsi="宋体"/>
          <w:color w:val="auto"/>
          <w:w w:val="80"/>
          <w:sz w:val="28"/>
          <w:highlight w:val="none"/>
        </w:rPr>
        <w:t>工作内容：</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3.1范围：</w:t>
      </w:r>
    </w:p>
    <w:p>
      <w:pPr>
        <w:spacing w:line="400" w:lineRule="exact"/>
        <w:rPr>
          <w:rFonts w:ascii="宋体" w:hAnsi="宋体"/>
          <w:color w:val="auto"/>
          <w:w w:val="80"/>
          <w:sz w:val="28"/>
          <w:highlight w:val="none"/>
        </w:rPr>
      </w:pPr>
      <w:r>
        <w:rPr>
          <w:rFonts w:hint="eastAsia" w:ascii="宋体" w:hAnsi="宋体"/>
          <w:color w:val="auto"/>
          <w:w w:val="80"/>
          <w:sz w:val="28"/>
          <w:highlight w:val="none"/>
        </w:rPr>
        <w:t xml:space="preserve">    生产基地厂房及配套用房工程（二期），占地面积约</w:t>
      </w:r>
      <w:r>
        <w:rPr>
          <w:rFonts w:hint="eastAsia" w:ascii="宋体" w:hAnsi="宋体"/>
          <w:color w:val="auto"/>
          <w:w w:val="80"/>
          <w:sz w:val="28"/>
          <w:highlight w:val="none"/>
          <w:u w:val="single"/>
        </w:rPr>
        <w:t>7540</w:t>
      </w:r>
      <w:r>
        <w:rPr>
          <w:rFonts w:hint="eastAsia" w:ascii="宋体" w:hAnsi="宋体"/>
          <w:color w:val="auto"/>
          <w:w w:val="80"/>
          <w:sz w:val="28"/>
          <w:highlight w:val="none"/>
        </w:rPr>
        <w:t>平方米，总建筑面积为</w:t>
      </w:r>
      <w:r>
        <w:rPr>
          <w:rFonts w:hint="eastAsia" w:ascii="宋体" w:hAnsi="宋体"/>
          <w:color w:val="auto"/>
          <w:w w:val="80"/>
          <w:sz w:val="28"/>
          <w:highlight w:val="none"/>
          <w:u w:val="single"/>
        </w:rPr>
        <w:t xml:space="preserve">68277 </w:t>
      </w:r>
      <w:r>
        <w:rPr>
          <w:rFonts w:hint="eastAsia" w:ascii="宋体" w:hAnsi="宋体"/>
          <w:color w:val="auto"/>
          <w:w w:val="80"/>
          <w:sz w:val="28"/>
          <w:highlight w:val="none"/>
        </w:rPr>
        <w:t>平方米。</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3.2 内容：</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向</w:t>
      </w:r>
      <w:r>
        <w:rPr>
          <w:rFonts w:hint="eastAsia" w:ascii="宋体" w:hAnsi="宋体"/>
          <w:color w:val="auto"/>
          <w:w w:val="80"/>
          <w:sz w:val="28"/>
          <w:highlight w:val="none"/>
          <w:u w:val="single"/>
        </w:rPr>
        <w:t>生产基地厂房及配套用房工程（二期）海绵城市</w:t>
      </w:r>
      <w:r>
        <w:rPr>
          <w:rFonts w:hint="eastAsia" w:ascii="宋体" w:hAnsi="宋体"/>
          <w:color w:val="auto"/>
          <w:w w:val="80"/>
          <w:sz w:val="28"/>
          <w:highlight w:val="none"/>
        </w:rPr>
        <w:t>项目提供海绵城市的设计工作，同时需满足当地政府主管部门的申报要求，包括且不限于：</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w:t>
      </w:r>
      <w:r>
        <w:rPr>
          <w:rFonts w:ascii="宋体" w:hAnsi="宋体"/>
          <w:color w:val="auto"/>
          <w:w w:val="80"/>
          <w:sz w:val="28"/>
          <w:highlight w:val="none"/>
        </w:rPr>
        <w:t>.</w:t>
      </w:r>
      <w:r>
        <w:rPr>
          <w:rFonts w:hint="eastAsia" w:ascii="宋体" w:hAnsi="宋体"/>
          <w:color w:val="auto"/>
          <w:w w:val="80"/>
          <w:sz w:val="28"/>
          <w:highlight w:val="none"/>
        </w:rPr>
        <w:t>1分析场地海绵城市建设控制指标，提出各项技术措施要求，整合海绵城市设计方案。</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w:t>
      </w:r>
      <w:r>
        <w:rPr>
          <w:rFonts w:ascii="宋体" w:hAnsi="宋体"/>
          <w:color w:val="auto"/>
          <w:w w:val="80"/>
          <w:sz w:val="28"/>
          <w:highlight w:val="none"/>
        </w:rPr>
        <w:t>.</w:t>
      </w:r>
      <w:r>
        <w:rPr>
          <w:rFonts w:hint="eastAsia" w:ascii="宋体" w:hAnsi="宋体"/>
          <w:color w:val="auto"/>
          <w:w w:val="80"/>
          <w:sz w:val="28"/>
          <w:highlight w:val="none"/>
        </w:rPr>
        <w:t>2协调景观、水、建筑规划等专业，落实各项技术措施。</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w:t>
      </w:r>
      <w:r>
        <w:rPr>
          <w:rFonts w:ascii="宋体" w:hAnsi="宋体"/>
          <w:color w:val="auto"/>
          <w:w w:val="80"/>
          <w:sz w:val="28"/>
          <w:highlight w:val="none"/>
        </w:rPr>
        <w:t>.</w:t>
      </w:r>
      <w:r>
        <w:rPr>
          <w:rFonts w:hint="eastAsia" w:ascii="宋体" w:hAnsi="宋体"/>
          <w:color w:val="auto"/>
          <w:w w:val="80"/>
          <w:sz w:val="28"/>
          <w:highlight w:val="none"/>
        </w:rPr>
        <w:t>3编制海绵城市专项技术方案文本。</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w:t>
      </w:r>
      <w:r>
        <w:rPr>
          <w:rFonts w:ascii="宋体" w:hAnsi="宋体"/>
          <w:color w:val="auto"/>
          <w:w w:val="80"/>
          <w:sz w:val="28"/>
          <w:highlight w:val="none"/>
        </w:rPr>
        <w:t>.</w:t>
      </w:r>
      <w:r>
        <w:rPr>
          <w:rFonts w:hint="eastAsia" w:ascii="宋体" w:hAnsi="宋体"/>
          <w:color w:val="auto"/>
          <w:w w:val="80"/>
          <w:sz w:val="28"/>
          <w:highlight w:val="none"/>
        </w:rPr>
        <w:t>4协助甲方完成海绵城市专项报审，参加海绵城市审查汇报。</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w:t>
      </w:r>
      <w:r>
        <w:rPr>
          <w:rFonts w:ascii="宋体" w:hAnsi="宋体"/>
          <w:color w:val="auto"/>
          <w:w w:val="80"/>
          <w:sz w:val="28"/>
          <w:highlight w:val="none"/>
        </w:rPr>
        <w:t>.</w:t>
      </w:r>
      <w:r>
        <w:rPr>
          <w:rFonts w:hint="eastAsia" w:ascii="宋体" w:hAnsi="宋体"/>
          <w:color w:val="auto"/>
          <w:w w:val="80"/>
          <w:sz w:val="28"/>
          <w:highlight w:val="none"/>
        </w:rPr>
        <w:t>5</w:t>
      </w:r>
      <w:r>
        <w:rPr>
          <w:rFonts w:ascii="宋体" w:hAnsi="宋体"/>
          <w:color w:val="auto"/>
          <w:w w:val="80"/>
          <w:sz w:val="28"/>
          <w:highlight w:val="none"/>
        </w:rPr>
        <w:t>协助及</w:t>
      </w:r>
      <w:r>
        <w:rPr>
          <w:rFonts w:hint="eastAsia" w:ascii="宋体" w:hAnsi="宋体"/>
          <w:color w:val="auto"/>
          <w:w w:val="80"/>
          <w:sz w:val="28"/>
          <w:highlight w:val="none"/>
        </w:rPr>
        <w:t>督促</w:t>
      </w:r>
      <w:r>
        <w:rPr>
          <w:rFonts w:ascii="宋体" w:hAnsi="宋体"/>
          <w:color w:val="auto"/>
          <w:w w:val="80"/>
          <w:sz w:val="28"/>
          <w:highlight w:val="none"/>
        </w:rPr>
        <w:t>建筑设计院</w:t>
      </w:r>
      <w:r>
        <w:rPr>
          <w:rFonts w:hint="eastAsia" w:ascii="宋体" w:hAnsi="宋体"/>
          <w:color w:val="auto"/>
          <w:w w:val="80"/>
          <w:sz w:val="28"/>
          <w:highlight w:val="none"/>
        </w:rPr>
        <w:t>及园林景观设计公司</w:t>
      </w:r>
      <w:r>
        <w:rPr>
          <w:rFonts w:ascii="宋体" w:hAnsi="宋体"/>
          <w:color w:val="auto"/>
          <w:w w:val="80"/>
          <w:sz w:val="28"/>
          <w:highlight w:val="none"/>
        </w:rPr>
        <w:t>完成与海绵城市设计内容</w:t>
      </w:r>
      <w:r>
        <w:rPr>
          <w:rFonts w:hint="eastAsia" w:ascii="宋体" w:hAnsi="宋体"/>
          <w:color w:val="auto"/>
          <w:w w:val="80"/>
          <w:sz w:val="28"/>
          <w:highlight w:val="none"/>
        </w:rPr>
        <w:t>(建筑设计院与园林景观设计公司的设计范围内)有</w:t>
      </w:r>
      <w:r>
        <w:rPr>
          <w:rFonts w:ascii="宋体" w:hAnsi="宋体"/>
          <w:color w:val="auto"/>
          <w:w w:val="80"/>
          <w:sz w:val="28"/>
          <w:highlight w:val="none"/>
        </w:rPr>
        <w:t>关的工作</w:t>
      </w:r>
      <w:r>
        <w:rPr>
          <w:rFonts w:hint="eastAsia" w:ascii="宋体" w:hAnsi="宋体"/>
          <w:color w:val="auto"/>
          <w:w w:val="80"/>
          <w:sz w:val="28"/>
          <w:highlight w:val="none"/>
        </w:rPr>
        <w:t>。</w:t>
      </w:r>
    </w:p>
    <w:p>
      <w:pPr>
        <w:spacing w:line="400" w:lineRule="exact"/>
        <w:ind w:firstLine="448" w:firstLineChars="200"/>
        <w:outlineLvl w:val="0"/>
        <w:rPr>
          <w:rFonts w:ascii="宋体" w:hAnsi="宋体"/>
          <w:color w:val="auto"/>
          <w:w w:val="80"/>
          <w:sz w:val="28"/>
          <w:highlight w:val="none"/>
        </w:rPr>
      </w:pPr>
      <w:r>
        <w:rPr>
          <w:rFonts w:hint="eastAsia" w:ascii="宋体" w:hAnsi="宋体"/>
          <w:color w:val="auto"/>
          <w:w w:val="80"/>
          <w:sz w:val="28"/>
          <w:highlight w:val="none"/>
        </w:rPr>
        <w:t>3.2.6若海绵城市施工过程及验收程序中需要海绵城市设计单位配合的，乙方须提供相关协助。</w:t>
      </w:r>
    </w:p>
    <w:p>
      <w:pPr>
        <w:spacing w:line="400" w:lineRule="exact"/>
        <w:ind w:firstLine="480"/>
        <w:outlineLvl w:val="0"/>
        <w:rPr>
          <w:rFonts w:ascii="宋体" w:hAnsi="宋体"/>
          <w:color w:val="auto"/>
          <w:w w:val="80"/>
          <w:sz w:val="28"/>
          <w:highlight w:val="none"/>
        </w:rPr>
      </w:pPr>
      <w:r>
        <w:rPr>
          <w:rFonts w:hint="eastAsia" w:ascii="宋体" w:hAnsi="宋体"/>
          <w:b/>
          <w:color w:val="auto"/>
          <w:w w:val="80"/>
          <w:sz w:val="28"/>
          <w:highlight w:val="none"/>
        </w:rPr>
        <w:t xml:space="preserve">第四条   </w:t>
      </w:r>
      <w:r>
        <w:rPr>
          <w:rFonts w:hint="eastAsia" w:ascii="宋体" w:hAnsi="宋体"/>
          <w:color w:val="auto"/>
          <w:w w:val="80"/>
          <w:sz w:val="28"/>
          <w:highlight w:val="none"/>
        </w:rPr>
        <w:t xml:space="preserve">合同价款： </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本合同含税服务费用总计：人民币</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元（¥</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），其中不含税费用为人民币</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元（¥</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），税点为</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%，税额为人民币</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元（¥</w:t>
      </w:r>
      <w:r>
        <w:rPr>
          <w:rFonts w:hint="eastAsia" w:ascii="宋体" w:hAnsi="宋体"/>
          <w:color w:val="auto"/>
          <w:w w:val="80"/>
          <w:sz w:val="28"/>
          <w:highlight w:val="none"/>
          <w:u w:val="single"/>
        </w:rPr>
        <w:t xml:space="preserve"> </w:t>
      </w:r>
      <w:r>
        <w:rPr>
          <w:rFonts w:ascii="宋体" w:hAnsi="宋体"/>
          <w:color w:val="auto"/>
          <w:w w:val="80"/>
          <w:sz w:val="28"/>
          <w:highlight w:val="none"/>
          <w:u w:val="single"/>
        </w:rPr>
        <w:t xml:space="preserve">            </w:t>
      </w:r>
      <w:r>
        <w:rPr>
          <w:rFonts w:hint="eastAsia" w:ascii="宋体" w:hAnsi="宋体"/>
          <w:color w:val="auto"/>
          <w:w w:val="80"/>
          <w:sz w:val="28"/>
          <w:highlight w:val="none"/>
        </w:rPr>
        <w:t>）。</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本合同总价为固定价。该费用包含乙方服务费用、乙方提供本合同规定的所有服务费用（包括且不限于乙方应缴纳的税费等费用、乙方日常运行所需的行政、通讯费用、工作人员的薪金、奖金、福利、交通、食宿、加班以及到现场人员差旅费等为取得服务费所需的所有费用）。除合同价款以外，除非双方另有约定或甲方同意，甲方不再向乙方支付或承担其他费用。</w:t>
      </w:r>
    </w:p>
    <w:p>
      <w:pPr>
        <w:spacing w:line="400" w:lineRule="exact"/>
        <w:ind w:firstLine="441" w:firstLineChars="196"/>
        <w:rPr>
          <w:rFonts w:ascii="宋体" w:hAnsi="宋体"/>
          <w:b/>
          <w:color w:val="auto"/>
          <w:w w:val="80"/>
          <w:sz w:val="28"/>
          <w:highlight w:val="none"/>
        </w:rPr>
      </w:pPr>
      <w:r>
        <w:rPr>
          <w:rFonts w:hint="eastAsia" w:ascii="宋体" w:hAnsi="宋体"/>
          <w:b/>
          <w:color w:val="auto"/>
          <w:w w:val="80"/>
          <w:sz w:val="28"/>
          <w:highlight w:val="none"/>
        </w:rPr>
        <w:t xml:space="preserve"> 第五条　</w:t>
      </w:r>
      <w:r>
        <w:rPr>
          <w:rFonts w:hint="eastAsia" w:ascii="宋体" w:hAnsi="宋体"/>
          <w:bCs/>
          <w:color w:val="auto"/>
          <w:w w:val="80"/>
          <w:sz w:val="28"/>
          <w:highlight w:val="none"/>
        </w:rPr>
        <w:t>双方应提供的资料</w:t>
      </w:r>
    </w:p>
    <w:p>
      <w:pPr>
        <w:spacing w:line="400" w:lineRule="exact"/>
        <w:ind w:firstLine="439" w:firstLineChars="196"/>
        <w:rPr>
          <w:rFonts w:ascii="宋体" w:hAnsi="宋体"/>
          <w:color w:val="auto"/>
          <w:w w:val="80"/>
          <w:sz w:val="28"/>
          <w:highlight w:val="none"/>
        </w:rPr>
      </w:pPr>
      <w:r>
        <w:rPr>
          <w:rFonts w:hint="eastAsia" w:ascii="宋体" w:hAnsi="宋体"/>
          <w:bCs/>
          <w:color w:val="auto"/>
          <w:w w:val="80"/>
          <w:sz w:val="28"/>
          <w:highlight w:val="none"/>
        </w:rPr>
        <w:t>5.1</w:t>
      </w:r>
      <w:r>
        <w:rPr>
          <w:rFonts w:hint="eastAsia" w:ascii="宋体" w:hAnsi="宋体"/>
          <w:color w:val="auto"/>
          <w:w w:val="80"/>
          <w:sz w:val="28"/>
          <w:highlight w:val="none"/>
        </w:rPr>
        <w:t>甲方应向乙方提交的有关资料及文件：　</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64"/>
        <w:gridCol w:w="3220"/>
        <w:gridCol w:w="936"/>
        <w:gridCol w:w="25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序号</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资料及文件名称</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份数</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提交日期</w:t>
            </w:r>
          </w:p>
        </w:tc>
        <w:tc>
          <w:tcPr>
            <w:tcW w:w="1618"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规划要点</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合同签订后5日内</w:t>
            </w:r>
          </w:p>
        </w:tc>
        <w:tc>
          <w:tcPr>
            <w:tcW w:w="1618" w:type="dxa"/>
            <w:vAlign w:val="center"/>
          </w:tcPr>
          <w:p>
            <w:pPr>
              <w:spacing w:line="400" w:lineRule="exact"/>
              <w:jc w:val="center"/>
              <w:rPr>
                <w:rFonts w:ascii="宋体" w:hAnsi="宋体"/>
                <w:color w:val="auto"/>
                <w:w w:val="8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2</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宗地图</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合同签订后5日内</w:t>
            </w:r>
          </w:p>
        </w:tc>
        <w:tc>
          <w:tcPr>
            <w:tcW w:w="1618" w:type="dxa"/>
            <w:vAlign w:val="center"/>
          </w:tcPr>
          <w:p>
            <w:pPr>
              <w:spacing w:line="400" w:lineRule="exact"/>
              <w:jc w:val="center"/>
              <w:rPr>
                <w:rFonts w:ascii="宋体" w:hAnsi="宋体"/>
                <w:color w:val="auto"/>
                <w:w w:val="8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3</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建筑总图</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合同签订后5日内</w:t>
            </w:r>
          </w:p>
        </w:tc>
        <w:tc>
          <w:tcPr>
            <w:tcW w:w="1618" w:type="dxa"/>
            <w:vAlign w:val="center"/>
          </w:tcPr>
          <w:p>
            <w:pPr>
              <w:spacing w:line="400" w:lineRule="exact"/>
              <w:jc w:val="center"/>
              <w:rPr>
                <w:rFonts w:ascii="宋体" w:hAnsi="宋体"/>
                <w:color w:val="auto"/>
                <w:w w:val="8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4</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地勘报告</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合同签订后5日内</w:t>
            </w:r>
          </w:p>
        </w:tc>
        <w:tc>
          <w:tcPr>
            <w:tcW w:w="1618" w:type="dxa"/>
            <w:vAlign w:val="center"/>
          </w:tcPr>
          <w:p>
            <w:pPr>
              <w:spacing w:line="400" w:lineRule="exact"/>
              <w:jc w:val="center"/>
              <w:rPr>
                <w:rFonts w:ascii="宋体" w:hAnsi="宋体"/>
                <w:color w:val="auto"/>
                <w:w w:val="8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1064"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5</w:t>
            </w:r>
          </w:p>
        </w:tc>
        <w:tc>
          <w:tcPr>
            <w:tcW w:w="32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环评</w:t>
            </w:r>
          </w:p>
        </w:tc>
        <w:tc>
          <w:tcPr>
            <w:tcW w:w="936"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252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合同签订后5日内</w:t>
            </w:r>
          </w:p>
        </w:tc>
        <w:tc>
          <w:tcPr>
            <w:tcW w:w="1618" w:type="dxa"/>
            <w:vAlign w:val="center"/>
          </w:tcPr>
          <w:p>
            <w:pPr>
              <w:spacing w:line="400" w:lineRule="exact"/>
              <w:jc w:val="center"/>
              <w:rPr>
                <w:rFonts w:ascii="宋体" w:hAnsi="宋体"/>
                <w:color w:val="auto"/>
                <w:w w:val="80"/>
                <w:sz w:val="28"/>
                <w:szCs w:val="21"/>
                <w:highlight w:val="none"/>
              </w:rPr>
            </w:pPr>
          </w:p>
        </w:tc>
      </w:tr>
    </w:tbl>
    <w:p>
      <w:pPr>
        <w:spacing w:line="400" w:lineRule="exact"/>
        <w:ind w:firstLine="327" w:firstLineChars="146"/>
        <w:outlineLvl w:val="0"/>
        <w:rPr>
          <w:rFonts w:ascii="宋体" w:hAnsi="宋体"/>
          <w:color w:val="auto"/>
          <w:w w:val="80"/>
          <w:sz w:val="28"/>
          <w:highlight w:val="none"/>
        </w:rPr>
      </w:pPr>
      <w:r>
        <w:rPr>
          <w:rFonts w:hint="eastAsia" w:ascii="宋体" w:hAnsi="宋体"/>
          <w:color w:val="auto"/>
          <w:w w:val="80"/>
          <w:sz w:val="28"/>
          <w:highlight w:val="none"/>
        </w:rPr>
        <w:t xml:space="preserve">  </w:t>
      </w:r>
      <w:r>
        <w:rPr>
          <w:rFonts w:hint="eastAsia" w:ascii="宋体" w:hAnsi="宋体"/>
          <w:bCs/>
          <w:color w:val="auto"/>
          <w:w w:val="80"/>
          <w:sz w:val="28"/>
          <w:highlight w:val="none"/>
        </w:rPr>
        <w:t>5.2</w:t>
      </w:r>
      <w:r>
        <w:rPr>
          <w:rFonts w:hint="eastAsia" w:ascii="宋体" w:hAnsi="宋体"/>
          <w:b/>
          <w:color w:val="auto"/>
          <w:w w:val="80"/>
          <w:sz w:val="28"/>
          <w:highlight w:val="none"/>
        </w:rPr>
        <w:t>　</w:t>
      </w:r>
      <w:r>
        <w:rPr>
          <w:rFonts w:hint="eastAsia" w:ascii="宋体" w:hAnsi="宋体"/>
          <w:color w:val="auto"/>
          <w:w w:val="80"/>
          <w:sz w:val="28"/>
          <w:highlight w:val="none"/>
        </w:rPr>
        <w:t>乙方应向甲方交付的设计资料及文件：</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00"/>
        <w:gridCol w:w="3510"/>
        <w:gridCol w:w="1260"/>
        <w:gridCol w:w="212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90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序号</w:t>
            </w:r>
          </w:p>
        </w:tc>
        <w:tc>
          <w:tcPr>
            <w:tcW w:w="351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资料及文件名称</w:t>
            </w:r>
          </w:p>
        </w:tc>
        <w:tc>
          <w:tcPr>
            <w:tcW w:w="126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套数</w:t>
            </w:r>
          </w:p>
        </w:tc>
        <w:tc>
          <w:tcPr>
            <w:tcW w:w="2127"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提交日期</w:t>
            </w:r>
          </w:p>
        </w:tc>
        <w:tc>
          <w:tcPr>
            <w:tcW w:w="1561"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90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1</w:t>
            </w:r>
          </w:p>
        </w:tc>
        <w:tc>
          <w:tcPr>
            <w:tcW w:w="351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报批方案文本（四份）及电子档</w:t>
            </w:r>
          </w:p>
        </w:tc>
        <w:tc>
          <w:tcPr>
            <w:tcW w:w="1260" w:type="dxa"/>
            <w:vAlign w:val="center"/>
          </w:tcPr>
          <w:p>
            <w:pPr>
              <w:spacing w:line="400" w:lineRule="exact"/>
              <w:jc w:val="center"/>
              <w:rPr>
                <w:rFonts w:ascii="宋体" w:hAnsi="宋体"/>
                <w:color w:val="auto"/>
                <w:w w:val="80"/>
                <w:sz w:val="28"/>
                <w:szCs w:val="21"/>
                <w:highlight w:val="none"/>
              </w:rPr>
            </w:pPr>
            <w:r>
              <w:rPr>
                <w:rFonts w:hint="eastAsia" w:ascii="宋体" w:hAnsi="宋体"/>
                <w:color w:val="auto"/>
                <w:w w:val="80"/>
                <w:sz w:val="28"/>
                <w:szCs w:val="21"/>
                <w:highlight w:val="none"/>
              </w:rPr>
              <w:t>按报批要求</w:t>
            </w:r>
          </w:p>
        </w:tc>
        <w:tc>
          <w:tcPr>
            <w:tcW w:w="2127" w:type="dxa"/>
            <w:vAlign w:val="center"/>
          </w:tcPr>
          <w:p>
            <w:pPr>
              <w:spacing w:line="400" w:lineRule="exact"/>
              <w:jc w:val="center"/>
              <w:rPr>
                <w:rFonts w:ascii="宋体" w:hAnsi="宋体"/>
                <w:color w:val="auto"/>
                <w:w w:val="80"/>
                <w:sz w:val="28"/>
                <w:highlight w:val="none"/>
              </w:rPr>
            </w:pPr>
            <w:r>
              <w:rPr>
                <w:rFonts w:hint="eastAsia" w:ascii="宋体" w:hAnsi="宋体"/>
                <w:color w:val="auto"/>
                <w:w w:val="80"/>
                <w:sz w:val="28"/>
                <w:szCs w:val="21"/>
                <w:highlight w:val="none"/>
              </w:rPr>
              <w:t>合同签订后15日内</w:t>
            </w:r>
          </w:p>
        </w:tc>
        <w:tc>
          <w:tcPr>
            <w:tcW w:w="1561" w:type="dxa"/>
            <w:vAlign w:val="center"/>
          </w:tcPr>
          <w:p>
            <w:pPr>
              <w:spacing w:line="400" w:lineRule="exact"/>
              <w:jc w:val="center"/>
              <w:rPr>
                <w:rFonts w:ascii="宋体" w:hAnsi="宋体"/>
                <w:color w:val="auto"/>
                <w:w w:val="80"/>
                <w:sz w:val="28"/>
                <w:szCs w:val="18"/>
                <w:highlight w:val="none"/>
              </w:rPr>
            </w:pPr>
          </w:p>
        </w:tc>
      </w:tr>
    </w:tbl>
    <w:p>
      <w:pPr>
        <w:spacing w:line="400" w:lineRule="exact"/>
        <w:jc w:val="left"/>
        <w:outlineLvl w:val="0"/>
        <w:rPr>
          <w:rFonts w:ascii="宋体" w:hAnsi="宋体"/>
          <w:color w:val="auto"/>
          <w:w w:val="80"/>
          <w:sz w:val="28"/>
          <w:highlight w:val="none"/>
        </w:rPr>
      </w:pPr>
      <w:r>
        <w:rPr>
          <w:rFonts w:hint="eastAsia" w:ascii="宋体" w:hAnsi="宋体"/>
          <w:b/>
          <w:color w:val="auto"/>
          <w:w w:val="80"/>
          <w:sz w:val="28"/>
          <w:highlight w:val="none"/>
        </w:rPr>
        <w:t xml:space="preserve"> </w:t>
      </w:r>
      <w:r>
        <w:rPr>
          <w:rFonts w:ascii="宋体" w:hAnsi="宋体"/>
          <w:b/>
          <w:color w:val="auto"/>
          <w:w w:val="80"/>
          <w:sz w:val="28"/>
          <w:highlight w:val="none"/>
        </w:rPr>
        <w:t xml:space="preserve">   </w:t>
      </w:r>
      <w:r>
        <w:rPr>
          <w:rFonts w:hint="eastAsia" w:ascii="宋体" w:hAnsi="宋体"/>
          <w:b/>
          <w:color w:val="auto"/>
          <w:w w:val="80"/>
          <w:sz w:val="28"/>
          <w:highlight w:val="none"/>
        </w:rPr>
        <w:t xml:space="preserve"> 第六条</w:t>
      </w:r>
      <w:r>
        <w:rPr>
          <w:rFonts w:hint="eastAsia" w:ascii="宋体" w:hAnsi="宋体"/>
          <w:color w:val="auto"/>
          <w:w w:val="80"/>
          <w:sz w:val="28"/>
          <w:highlight w:val="none"/>
        </w:rPr>
        <w:t xml:space="preserve">  付款方式：乙方提出书面付款申请资料及相关文件，经甲方确认，同时向甲方提供合法的增值税专用发票（税率：9%），甲方审核合格后按以下付款方式付款，否则甲方可暂停付款，不构成违约。</w:t>
      </w:r>
    </w:p>
    <w:tbl>
      <w:tblPr>
        <w:tblStyle w:val="4"/>
        <w:tblW w:w="1044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59"/>
        <w:gridCol w:w="567"/>
        <w:gridCol w:w="992"/>
        <w:gridCol w:w="4395"/>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659"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付款次序</w:t>
            </w:r>
          </w:p>
        </w:tc>
        <w:tc>
          <w:tcPr>
            <w:tcW w:w="567"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付款比例</w:t>
            </w:r>
          </w:p>
        </w:tc>
        <w:tc>
          <w:tcPr>
            <w:tcW w:w="992"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付款金额（元）</w:t>
            </w:r>
          </w:p>
        </w:tc>
        <w:tc>
          <w:tcPr>
            <w:tcW w:w="4395" w:type="dxa"/>
            <w:vAlign w:val="center"/>
          </w:tcPr>
          <w:p>
            <w:pPr>
              <w:widowControl/>
              <w:spacing w:line="400" w:lineRule="exact"/>
              <w:ind w:firstLine="384" w:firstLineChars="200"/>
              <w:jc w:val="center"/>
              <w:rPr>
                <w:rFonts w:ascii="宋体" w:hAnsi="宋体"/>
                <w:color w:val="auto"/>
                <w:w w:val="80"/>
                <w:sz w:val="24"/>
                <w:highlight w:val="none"/>
              </w:rPr>
            </w:pPr>
            <w:r>
              <w:rPr>
                <w:rFonts w:hint="eastAsia" w:ascii="宋体" w:hAnsi="宋体"/>
                <w:color w:val="auto"/>
                <w:w w:val="80"/>
                <w:sz w:val="24"/>
                <w:highlight w:val="none"/>
              </w:rPr>
              <w:t>工作内容</w:t>
            </w:r>
          </w:p>
        </w:tc>
        <w:tc>
          <w:tcPr>
            <w:tcW w:w="2268"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乙方成果</w:t>
            </w:r>
          </w:p>
        </w:tc>
        <w:tc>
          <w:tcPr>
            <w:tcW w:w="1560"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659"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第一次</w:t>
            </w:r>
          </w:p>
        </w:tc>
        <w:tc>
          <w:tcPr>
            <w:tcW w:w="567"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30%</w:t>
            </w:r>
          </w:p>
        </w:tc>
        <w:tc>
          <w:tcPr>
            <w:tcW w:w="992" w:type="dxa"/>
            <w:vAlign w:val="center"/>
          </w:tcPr>
          <w:p>
            <w:pPr>
              <w:widowControl/>
              <w:spacing w:line="400" w:lineRule="exact"/>
              <w:rPr>
                <w:rFonts w:ascii="宋体" w:hAnsi="宋体"/>
                <w:color w:val="auto"/>
                <w:w w:val="80"/>
                <w:sz w:val="24"/>
                <w:highlight w:val="none"/>
              </w:rPr>
            </w:pPr>
          </w:p>
        </w:tc>
        <w:tc>
          <w:tcPr>
            <w:tcW w:w="4395" w:type="dxa"/>
            <w:vAlign w:val="center"/>
          </w:tcPr>
          <w:p>
            <w:pPr>
              <w:widowControl/>
              <w:spacing w:line="400" w:lineRule="exact"/>
              <w:rPr>
                <w:rFonts w:ascii="宋体" w:hAnsi="宋体"/>
                <w:color w:val="auto"/>
                <w:w w:val="80"/>
                <w:sz w:val="24"/>
                <w:highlight w:val="none"/>
              </w:rPr>
            </w:pPr>
            <w:r>
              <w:rPr>
                <w:rFonts w:ascii="宋体" w:hAnsi="宋体"/>
                <w:color w:val="auto"/>
                <w:w w:val="80"/>
                <w:sz w:val="24"/>
                <w:highlight w:val="none"/>
              </w:rPr>
              <w:t>1、</w:t>
            </w:r>
            <w:r>
              <w:rPr>
                <w:rFonts w:hint="eastAsia" w:ascii="宋体" w:hAnsi="宋体"/>
                <w:color w:val="auto"/>
                <w:w w:val="80"/>
                <w:sz w:val="24"/>
                <w:highlight w:val="none"/>
              </w:rPr>
              <w:t>项目相关情况的收集与整理；</w:t>
            </w:r>
          </w:p>
          <w:p>
            <w:pPr>
              <w:widowControl/>
              <w:spacing w:line="400" w:lineRule="exact"/>
              <w:rPr>
                <w:rFonts w:ascii="宋体" w:hAnsi="宋体"/>
                <w:color w:val="auto"/>
                <w:w w:val="80"/>
                <w:sz w:val="24"/>
                <w:highlight w:val="none"/>
              </w:rPr>
            </w:pPr>
            <w:r>
              <w:rPr>
                <w:rFonts w:ascii="宋体" w:hAnsi="宋体"/>
                <w:color w:val="auto"/>
                <w:w w:val="80"/>
                <w:sz w:val="24"/>
                <w:highlight w:val="none"/>
              </w:rPr>
              <w:t>2、</w:t>
            </w:r>
            <w:r>
              <w:rPr>
                <w:rFonts w:hint="eastAsia" w:ascii="宋体" w:hAnsi="宋体"/>
                <w:color w:val="auto"/>
                <w:w w:val="80"/>
                <w:sz w:val="24"/>
                <w:highlight w:val="none"/>
              </w:rPr>
              <w:t>对项目资料与初步方案进行海绵城市专项评估；</w:t>
            </w:r>
          </w:p>
          <w:p>
            <w:pPr>
              <w:widowControl/>
              <w:spacing w:line="400" w:lineRule="exact"/>
              <w:rPr>
                <w:rFonts w:ascii="宋体" w:hAnsi="宋体"/>
                <w:color w:val="auto"/>
                <w:w w:val="80"/>
                <w:sz w:val="24"/>
                <w:highlight w:val="none"/>
              </w:rPr>
            </w:pPr>
            <w:r>
              <w:rPr>
                <w:rFonts w:ascii="宋体" w:hAnsi="宋体"/>
                <w:color w:val="auto"/>
                <w:w w:val="80"/>
                <w:sz w:val="24"/>
                <w:highlight w:val="none"/>
              </w:rPr>
              <w:t>3、</w:t>
            </w:r>
            <w:r>
              <w:rPr>
                <w:rFonts w:hint="eastAsia" w:ascii="宋体" w:hAnsi="宋体"/>
                <w:color w:val="auto"/>
                <w:w w:val="80"/>
                <w:sz w:val="24"/>
                <w:highlight w:val="none"/>
              </w:rPr>
              <w:t>跟进评估情况与设计单位沟通，确定海绵城市目标及各项技术措施及相关指标；</w:t>
            </w:r>
          </w:p>
          <w:p>
            <w:pPr>
              <w:widowControl/>
              <w:spacing w:line="400" w:lineRule="exact"/>
              <w:rPr>
                <w:rFonts w:ascii="宋体" w:hAnsi="宋体"/>
                <w:color w:val="auto"/>
                <w:w w:val="80"/>
                <w:sz w:val="24"/>
                <w:highlight w:val="none"/>
              </w:rPr>
            </w:pPr>
            <w:r>
              <w:rPr>
                <w:rFonts w:ascii="宋体" w:hAnsi="宋体"/>
                <w:color w:val="auto"/>
                <w:w w:val="80"/>
                <w:sz w:val="24"/>
                <w:highlight w:val="none"/>
              </w:rPr>
              <w:t>4、</w:t>
            </w:r>
            <w:r>
              <w:rPr>
                <w:rFonts w:hint="eastAsia" w:ascii="宋体" w:hAnsi="宋体"/>
                <w:color w:val="auto"/>
                <w:w w:val="80"/>
                <w:sz w:val="24"/>
                <w:highlight w:val="none"/>
              </w:rPr>
              <w:t>提出海绵城市设计方案及相关建议，与设计单位及业主确定后明确海绵城市设计方案，海绵设施建设目标表、分析场地径流方向和路线图，编制海绵城市设计说明方案专篇；</w:t>
            </w:r>
          </w:p>
        </w:tc>
        <w:tc>
          <w:tcPr>
            <w:tcW w:w="2268"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1.《海绵城市初步方案建议书》2.《海绵城市设计专篇》</w:t>
            </w:r>
          </w:p>
        </w:tc>
        <w:tc>
          <w:tcPr>
            <w:tcW w:w="1560"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海绵城市专项报审通过后7日内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659"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第二次</w:t>
            </w:r>
          </w:p>
        </w:tc>
        <w:tc>
          <w:tcPr>
            <w:tcW w:w="567"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65%</w:t>
            </w:r>
          </w:p>
        </w:tc>
        <w:tc>
          <w:tcPr>
            <w:tcW w:w="992" w:type="dxa"/>
            <w:vAlign w:val="center"/>
          </w:tcPr>
          <w:p>
            <w:pPr>
              <w:widowControl/>
              <w:spacing w:line="400" w:lineRule="exact"/>
              <w:rPr>
                <w:rFonts w:ascii="宋体" w:hAnsi="宋体"/>
                <w:color w:val="auto"/>
                <w:w w:val="80"/>
                <w:sz w:val="24"/>
                <w:highlight w:val="none"/>
              </w:rPr>
            </w:pPr>
          </w:p>
        </w:tc>
        <w:tc>
          <w:tcPr>
            <w:tcW w:w="4395"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1、在方案设计阶段与设计单位及业主沟通的基础上，完善海绵城市设计各项技术措施；</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2、协助指导设计单位完成有关海绵城市的设计工作；</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3、提供海绵城市做法参考详图，配合设计单位完成海绵城市施工图设计并提出审核意见；</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4、协助参与海绵城市相关审查和评审工作；</w:t>
            </w:r>
          </w:p>
        </w:tc>
        <w:tc>
          <w:tcPr>
            <w:tcW w:w="2268"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1.《下垫面分析图》</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2.《汇水分区及径流分析图》</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3.《室外雨水管线图》</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4.《海绵设施布局图》</w:t>
            </w:r>
          </w:p>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5.《海绵设施大样图》</w:t>
            </w:r>
          </w:p>
        </w:tc>
        <w:tc>
          <w:tcPr>
            <w:tcW w:w="1560"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与海绵城市相关的施工图通过政府部门审核后7日内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84" w:hRule="atLeast"/>
        </w:trPr>
        <w:tc>
          <w:tcPr>
            <w:tcW w:w="659"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第三次</w:t>
            </w:r>
          </w:p>
        </w:tc>
        <w:tc>
          <w:tcPr>
            <w:tcW w:w="567"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5%</w:t>
            </w:r>
          </w:p>
        </w:tc>
        <w:tc>
          <w:tcPr>
            <w:tcW w:w="992" w:type="dxa"/>
            <w:vAlign w:val="center"/>
          </w:tcPr>
          <w:p>
            <w:pPr>
              <w:widowControl/>
              <w:spacing w:line="400" w:lineRule="exact"/>
              <w:rPr>
                <w:rFonts w:ascii="宋体" w:hAnsi="宋体"/>
                <w:color w:val="auto"/>
                <w:w w:val="80"/>
                <w:sz w:val="24"/>
                <w:highlight w:val="none"/>
              </w:rPr>
            </w:pPr>
          </w:p>
        </w:tc>
        <w:tc>
          <w:tcPr>
            <w:tcW w:w="4395" w:type="dxa"/>
            <w:vAlign w:val="center"/>
          </w:tcPr>
          <w:p>
            <w:pPr>
              <w:widowControl/>
              <w:spacing w:line="400" w:lineRule="exact"/>
              <w:rPr>
                <w:rFonts w:ascii="宋体" w:hAnsi="宋体"/>
                <w:color w:val="auto"/>
                <w:w w:val="80"/>
                <w:sz w:val="24"/>
                <w:highlight w:val="none"/>
              </w:rPr>
            </w:pPr>
          </w:p>
        </w:tc>
        <w:tc>
          <w:tcPr>
            <w:tcW w:w="2268" w:type="dxa"/>
            <w:vAlign w:val="center"/>
          </w:tcPr>
          <w:p>
            <w:pPr>
              <w:widowControl/>
              <w:spacing w:line="400" w:lineRule="exact"/>
              <w:rPr>
                <w:rFonts w:ascii="宋体" w:hAnsi="宋体"/>
                <w:color w:val="auto"/>
                <w:w w:val="80"/>
                <w:sz w:val="24"/>
                <w:highlight w:val="none"/>
              </w:rPr>
            </w:pPr>
          </w:p>
        </w:tc>
        <w:tc>
          <w:tcPr>
            <w:tcW w:w="1560" w:type="dxa"/>
            <w:vAlign w:val="center"/>
          </w:tcPr>
          <w:p>
            <w:pPr>
              <w:widowControl/>
              <w:spacing w:line="400" w:lineRule="exact"/>
              <w:rPr>
                <w:rFonts w:ascii="宋体" w:hAnsi="宋体"/>
                <w:color w:val="auto"/>
                <w:w w:val="80"/>
                <w:sz w:val="24"/>
                <w:highlight w:val="none"/>
              </w:rPr>
            </w:pPr>
            <w:r>
              <w:rPr>
                <w:rFonts w:hint="eastAsia" w:ascii="宋体" w:hAnsi="宋体"/>
                <w:color w:val="auto"/>
                <w:w w:val="80"/>
                <w:sz w:val="24"/>
                <w:highlight w:val="none"/>
              </w:rPr>
              <w:t>与海绵城市相关的工程验收通过政府部门验收后7日内</w:t>
            </w:r>
          </w:p>
        </w:tc>
      </w:tr>
    </w:tbl>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 xml:space="preserve"> </w:t>
      </w:r>
      <w:r>
        <w:rPr>
          <w:rFonts w:hint="eastAsia" w:ascii="宋体" w:hAnsi="宋体"/>
          <w:b/>
          <w:color w:val="auto"/>
          <w:w w:val="80"/>
          <w:sz w:val="28"/>
          <w:highlight w:val="none"/>
        </w:rPr>
        <w:t>第七条　</w:t>
      </w:r>
      <w:r>
        <w:rPr>
          <w:rFonts w:hint="eastAsia" w:ascii="宋体" w:hAnsi="宋体"/>
          <w:color w:val="auto"/>
          <w:w w:val="80"/>
          <w:sz w:val="28"/>
          <w:highlight w:val="none"/>
        </w:rPr>
        <w:t>双方责任</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.1</w:t>
      </w:r>
      <w:r>
        <w:rPr>
          <w:rFonts w:hint="eastAsia" w:ascii="宋体" w:hAnsi="宋体"/>
          <w:color w:val="auto"/>
          <w:w w:val="80"/>
          <w:sz w:val="28"/>
          <w:highlight w:val="none"/>
        </w:rPr>
        <w:t>甲方责任：</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.1.1</w:t>
      </w:r>
      <w:r>
        <w:rPr>
          <w:rFonts w:hint="eastAsia" w:ascii="宋体" w:hAnsi="宋体"/>
          <w:color w:val="auto"/>
          <w:w w:val="80"/>
          <w:sz w:val="28"/>
          <w:highlight w:val="none"/>
        </w:rPr>
        <w:t>甲方按本合同第五条约定的内容，在规定的时间内向乙方提交资料及文件，并对其完整性、正确性、及时性负责，甲方不得要求乙方违反国家有关标准进行设计。</w:t>
      </w:r>
    </w:p>
    <w:p>
      <w:pPr>
        <w:spacing w:line="400" w:lineRule="exact"/>
        <w:ind w:firstLine="336" w:firstLineChars="150"/>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.1.2</w:t>
      </w:r>
      <w:r>
        <w:rPr>
          <w:rFonts w:hint="eastAsia" w:ascii="宋体" w:hAnsi="宋体"/>
          <w:color w:val="auto"/>
          <w:w w:val="80"/>
          <w:sz w:val="28"/>
          <w:highlight w:val="none"/>
        </w:rPr>
        <w:t>甲方变更委托设计项目、规模、条件或因提交的资料错误，或所提交资料作较大修改，以致造成乙方设计需返工时，双方另行协商签订补充协议。</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.1.</w:t>
      </w:r>
      <w:r>
        <w:rPr>
          <w:rFonts w:hint="eastAsia" w:ascii="宋体" w:hAnsi="宋体"/>
          <w:color w:val="auto"/>
          <w:w w:val="80"/>
          <w:sz w:val="28"/>
          <w:highlight w:val="none"/>
        </w:rPr>
        <w:t>3甲方应保护乙方的投标书、设计方案、文件、资料图纸、数据、计算软件和专利技术，所有设计成果版权归甲方所有。</w:t>
      </w:r>
    </w:p>
    <w:p>
      <w:pPr>
        <w:spacing w:line="400" w:lineRule="exact"/>
        <w:rPr>
          <w:rFonts w:ascii="宋体" w:hAnsi="宋体"/>
          <w:color w:val="auto"/>
          <w:w w:val="80"/>
          <w:sz w:val="28"/>
          <w:highlight w:val="none"/>
        </w:rPr>
      </w:pPr>
      <w:r>
        <w:rPr>
          <w:rFonts w:hint="eastAsia" w:ascii="宋体" w:hAnsi="宋体"/>
          <w:color w:val="auto"/>
          <w:w w:val="80"/>
          <w:sz w:val="28"/>
          <w:highlight w:val="none"/>
        </w:rPr>
        <w:t xml:space="preserve">   </w:t>
      </w:r>
      <w:r>
        <w:rPr>
          <w:rFonts w:ascii="宋体" w:hAnsi="宋体"/>
          <w:color w:val="auto"/>
          <w:w w:val="80"/>
          <w:sz w:val="28"/>
          <w:highlight w:val="none"/>
        </w:rPr>
        <w:t xml:space="preserve"> </w:t>
      </w:r>
      <w:r>
        <w:rPr>
          <w:rFonts w:hint="eastAsia" w:ascii="宋体" w:hAnsi="宋体"/>
          <w:color w:val="auto"/>
          <w:w w:val="80"/>
          <w:sz w:val="28"/>
          <w:highlight w:val="none"/>
        </w:rPr>
        <w:t xml:space="preserve"> 7</w:t>
      </w:r>
      <w:r>
        <w:rPr>
          <w:rFonts w:ascii="宋体" w:hAnsi="宋体"/>
          <w:color w:val="auto"/>
          <w:w w:val="80"/>
          <w:sz w:val="28"/>
          <w:highlight w:val="none"/>
        </w:rPr>
        <w:t>.1.</w:t>
      </w:r>
      <w:r>
        <w:rPr>
          <w:rFonts w:hint="eastAsia" w:ascii="宋体" w:hAnsi="宋体"/>
          <w:color w:val="auto"/>
          <w:w w:val="80"/>
          <w:sz w:val="28"/>
          <w:highlight w:val="none"/>
        </w:rPr>
        <w:t>4甲方指定的工程师</w:t>
      </w:r>
    </w:p>
    <w:p>
      <w:pPr>
        <w:spacing w:line="400" w:lineRule="exact"/>
        <w:ind w:firstLine="560" w:firstLineChars="250"/>
        <w:rPr>
          <w:rFonts w:ascii="宋体" w:hAnsi="宋体"/>
          <w:color w:val="auto"/>
          <w:w w:val="80"/>
          <w:sz w:val="28"/>
          <w:highlight w:val="none"/>
        </w:rPr>
      </w:pPr>
      <w:r>
        <w:rPr>
          <w:rFonts w:hint="eastAsia" w:ascii="宋体" w:hAnsi="宋体"/>
          <w:color w:val="auto"/>
          <w:w w:val="80"/>
          <w:sz w:val="28"/>
          <w:highlight w:val="none"/>
        </w:rPr>
        <w:t>职权：工程师的指令、通知由其签字并加盖公章或电子邮件等形式，乙方在回执签署姓名和收到时间后生效，确有必要时，工程师发出口头指令，并在24小时内予以书面确认、乙方对工程师的指令应予执行。工程师按合同的约定，及时向乙方提供所需指令、批件并履行其他约定的义务，乙方对工程师的指令、批件有异议，乙方可在接到指令、批件后12小时内以书面通知工程师。</w:t>
      </w:r>
    </w:p>
    <w:p>
      <w:pPr>
        <w:spacing w:line="400" w:lineRule="exact"/>
        <w:rPr>
          <w:rFonts w:ascii="宋体" w:hAnsi="宋体"/>
          <w:color w:val="auto"/>
          <w:w w:val="80"/>
          <w:sz w:val="28"/>
          <w:highlight w:val="none"/>
          <w:u w:val="single"/>
        </w:rPr>
      </w:pPr>
      <w:r>
        <w:rPr>
          <w:rFonts w:hint="eastAsia" w:ascii="宋体" w:hAnsi="宋体"/>
          <w:color w:val="auto"/>
          <w:w w:val="80"/>
          <w:sz w:val="28"/>
          <w:highlight w:val="none"/>
        </w:rPr>
        <w:t>　　 7</w:t>
      </w:r>
      <w:r>
        <w:rPr>
          <w:rFonts w:ascii="宋体" w:hAnsi="宋体"/>
          <w:color w:val="auto"/>
          <w:w w:val="80"/>
          <w:sz w:val="28"/>
          <w:highlight w:val="none"/>
        </w:rPr>
        <w:t>.2</w:t>
      </w:r>
      <w:r>
        <w:rPr>
          <w:rFonts w:hint="eastAsia" w:ascii="宋体" w:hAnsi="宋体"/>
          <w:color w:val="auto"/>
          <w:w w:val="80"/>
          <w:sz w:val="28"/>
          <w:highlight w:val="none"/>
        </w:rPr>
        <w:t>乙方责任：</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.2.1</w:t>
      </w:r>
      <w:r>
        <w:rPr>
          <w:rFonts w:hint="eastAsia" w:ascii="宋体" w:hAnsi="宋体"/>
          <w:color w:val="auto"/>
          <w:w w:val="80"/>
          <w:sz w:val="28"/>
          <w:highlight w:val="none"/>
        </w:rPr>
        <w:t>乙方应按国家技术规范、标准、规程及甲方提出的设计要求进行工程设计，按合同规定的进度要求提交质量合格的设计资料，并对其负责。</w:t>
      </w:r>
    </w:p>
    <w:p>
      <w:pPr>
        <w:spacing w:line="400" w:lineRule="exact"/>
        <w:rPr>
          <w:rFonts w:ascii="宋体" w:hAnsi="宋体"/>
          <w:color w:val="auto"/>
          <w:w w:val="80"/>
          <w:sz w:val="28"/>
          <w:highlight w:val="none"/>
        </w:rPr>
      </w:pPr>
      <w:r>
        <w:rPr>
          <w:rFonts w:hint="eastAsia" w:ascii="宋体" w:hAnsi="宋体"/>
          <w:color w:val="auto"/>
          <w:w w:val="80"/>
          <w:sz w:val="28"/>
          <w:highlight w:val="none"/>
        </w:rPr>
        <w:t xml:space="preserve">    </w:t>
      </w:r>
      <w:r>
        <w:rPr>
          <w:rFonts w:ascii="宋体" w:hAnsi="宋体"/>
          <w:color w:val="auto"/>
          <w:w w:val="80"/>
          <w:sz w:val="28"/>
          <w:highlight w:val="none"/>
        </w:rPr>
        <w:t xml:space="preserve"> </w:t>
      </w:r>
      <w:r>
        <w:rPr>
          <w:rFonts w:hint="eastAsia" w:ascii="宋体" w:hAnsi="宋体"/>
          <w:color w:val="auto"/>
          <w:w w:val="80"/>
          <w:sz w:val="28"/>
          <w:highlight w:val="none"/>
        </w:rPr>
        <w:t>7</w:t>
      </w:r>
      <w:r>
        <w:rPr>
          <w:rFonts w:ascii="宋体" w:hAnsi="宋体"/>
          <w:color w:val="auto"/>
          <w:w w:val="80"/>
          <w:sz w:val="28"/>
          <w:highlight w:val="none"/>
        </w:rPr>
        <w:t>.2.2</w:t>
      </w:r>
      <w:r>
        <w:rPr>
          <w:rFonts w:hint="eastAsia" w:ascii="宋体" w:hAnsi="宋体"/>
          <w:color w:val="auto"/>
          <w:w w:val="80"/>
          <w:sz w:val="28"/>
          <w:highlight w:val="none"/>
        </w:rPr>
        <w:t>乙方提交的各阶段资料的技术深度必须满足建设建设部</w:t>
      </w:r>
      <w:r>
        <w:rPr>
          <w:rFonts w:hint="eastAsia" w:ascii="宋体" w:hAnsi="宋体"/>
          <w:color w:val="auto"/>
          <w:w w:val="80"/>
          <w:sz w:val="28"/>
          <w:highlight w:val="none"/>
          <w:u w:val="single"/>
        </w:rPr>
        <w:t>2016年版《建筑工程设计文件编制深度规定》</w:t>
      </w:r>
      <w:r>
        <w:rPr>
          <w:rFonts w:hint="eastAsia" w:ascii="宋体" w:hAnsi="宋体"/>
          <w:color w:val="auto"/>
          <w:w w:val="80"/>
          <w:sz w:val="28"/>
          <w:highlight w:val="none"/>
        </w:rPr>
        <w:t>的要求并满足当地主管部门报审要求。乙方采用的主要技术标准是：国家现行有关设计规范、规程、图集及省市有关规定。</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.2.3</w:t>
      </w:r>
      <w:r>
        <w:rPr>
          <w:rFonts w:hint="eastAsia" w:ascii="宋体" w:hAnsi="宋体"/>
          <w:color w:val="auto"/>
          <w:w w:val="80"/>
          <w:sz w:val="28"/>
          <w:highlight w:val="none"/>
        </w:rPr>
        <w:t>设计合理使用年限为</w:t>
      </w:r>
      <w:r>
        <w:rPr>
          <w:rFonts w:hint="eastAsia" w:ascii="宋体" w:hAnsi="宋体"/>
          <w:color w:val="auto"/>
          <w:w w:val="80"/>
          <w:sz w:val="28"/>
          <w:highlight w:val="none"/>
          <w:u w:val="single"/>
        </w:rPr>
        <w:t xml:space="preserve"> 50 </w:t>
      </w:r>
      <w:r>
        <w:rPr>
          <w:rFonts w:hint="eastAsia" w:ascii="宋体" w:hAnsi="宋体"/>
          <w:color w:val="auto"/>
          <w:w w:val="80"/>
          <w:sz w:val="28"/>
          <w:highlight w:val="none"/>
        </w:rPr>
        <w:t>年。</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.2.4</w:t>
      </w:r>
      <w:r>
        <w:rPr>
          <w:rFonts w:hint="eastAsia" w:ascii="宋体" w:hAnsi="宋体"/>
          <w:color w:val="auto"/>
          <w:w w:val="80"/>
          <w:sz w:val="28"/>
          <w:highlight w:val="none"/>
        </w:rPr>
        <w:t>乙方按本合同约定内容、进度及份数向甲方交付资料及文件（书面文本及电子文件）。</w:t>
      </w:r>
    </w:p>
    <w:p>
      <w:pPr>
        <w:spacing w:line="400" w:lineRule="exact"/>
        <w:ind w:firstLine="560" w:firstLineChars="250"/>
        <w:rPr>
          <w:rFonts w:ascii="宋体" w:hAnsi="宋体"/>
          <w:color w:val="auto"/>
          <w:w w:val="80"/>
          <w:sz w:val="28"/>
          <w:highlight w:val="none"/>
        </w:rPr>
      </w:pPr>
      <w:r>
        <w:rPr>
          <w:rFonts w:hint="eastAsia" w:ascii="宋体" w:hAnsi="宋体"/>
          <w:color w:val="auto"/>
          <w:w w:val="80"/>
          <w:sz w:val="28"/>
          <w:highlight w:val="none"/>
        </w:rPr>
        <w:t>7</w:t>
      </w:r>
      <w:r>
        <w:rPr>
          <w:rFonts w:ascii="宋体" w:hAnsi="宋体"/>
          <w:color w:val="auto"/>
          <w:w w:val="80"/>
          <w:sz w:val="28"/>
          <w:highlight w:val="none"/>
        </w:rPr>
        <w:t>.2.5</w:t>
      </w:r>
      <w:r>
        <w:rPr>
          <w:rFonts w:hint="eastAsia" w:ascii="宋体" w:hAnsi="宋体"/>
          <w:color w:val="auto"/>
          <w:w w:val="80"/>
          <w:sz w:val="28"/>
          <w:highlight w:val="none"/>
        </w:rPr>
        <w:t>乙方交付设计资料及文件后，按规定参加有关的设计审查，并根据审查结论负责对不超出原定范围的内容做必要调整补充。乙方按合同规定时限交付设计资料及文件，开始施工时负责向甲方及施工单位进行设计交底，并根据甲方的要求及时到工地现场负责处理有关设计问题、解答与设计有关的咨询，及参加重要部位隐蔽工程查验和竣工验收，必要时按项目要求需派相关人员驻现场办公(费用已包含在本合同中)。</w:t>
      </w:r>
    </w:p>
    <w:p>
      <w:pPr>
        <w:spacing w:line="400" w:lineRule="exact"/>
        <w:rPr>
          <w:rFonts w:ascii="宋体" w:hAnsi="宋体"/>
          <w:color w:val="auto"/>
          <w:w w:val="80"/>
          <w:sz w:val="28"/>
          <w:highlight w:val="none"/>
        </w:rPr>
      </w:pPr>
      <w:r>
        <w:rPr>
          <w:rFonts w:hint="eastAsia" w:ascii="宋体" w:hAnsi="宋体"/>
          <w:color w:val="auto"/>
          <w:w w:val="80"/>
          <w:sz w:val="28"/>
          <w:highlight w:val="none"/>
        </w:rPr>
        <w:t>　　 7</w:t>
      </w:r>
      <w:r>
        <w:rPr>
          <w:rFonts w:ascii="宋体" w:hAnsi="宋体"/>
          <w:color w:val="auto"/>
          <w:w w:val="80"/>
          <w:sz w:val="28"/>
          <w:highlight w:val="none"/>
        </w:rPr>
        <w:t>.2.6</w:t>
      </w:r>
      <w:r>
        <w:rPr>
          <w:rFonts w:hint="eastAsia" w:ascii="宋体" w:hAnsi="宋体"/>
          <w:color w:val="auto"/>
          <w:w w:val="80"/>
          <w:sz w:val="28"/>
          <w:highlight w:val="none"/>
        </w:rPr>
        <w:t>乙方应保护甲方的知识产权，不得向第三人泄露、转让甲方提交的产品图纸等技术经济资料。如发生以上情况并给甲方造成经济损失，由乙方承担。</w:t>
      </w:r>
    </w:p>
    <w:p>
      <w:pPr>
        <w:spacing w:line="400" w:lineRule="exact"/>
        <w:rPr>
          <w:rFonts w:ascii="宋体" w:hAnsi="宋体"/>
          <w:color w:val="auto"/>
          <w:w w:val="80"/>
          <w:sz w:val="28"/>
          <w:highlight w:val="none"/>
        </w:rPr>
      </w:pPr>
      <w:r>
        <w:rPr>
          <w:rFonts w:hint="eastAsia" w:ascii="宋体" w:hAnsi="宋体"/>
          <w:color w:val="auto"/>
          <w:w w:val="80"/>
          <w:sz w:val="28"/>
          <w:highlight w:val="none"/>
        </w:rPr>
        <w:t xml:space="preserve">  </w:t>
      </w:r>
      <w:r>
        <w:rPr>
          <w:rFonts w:ascii="宋体" w:hAnsi="宋体"/>
          <w:color w:val="auto"/>
          <w:w w:val="80"/>
          <w:sz w:val="28"/>
          <w:highlight w:val="none"/>
        </w:rPr>
        <w:t xml:space="preserve">  </w:t>
      </w:r>
      <w:r>
        <w:rPr>
          <w:rFonts w:hint="eastAsia" w:ascii="宋体" w:hAnsi="宋体"/>
          <w:color w:val="auto"/>
          <w:w w:val="80"/>
          <w:sz w:val="28"/>
          <w:highlight w:val="none"/>
        </w:rPr>
        <w:t xml:space="preserve"> 7</w:t>
      </w:r>
      <w:r>
        <w:rPr>
          <w:rFonts w:ascii="宋体" w:hAnsi="宋体"/>
          <w:color w:val="auto"/>
          <w:w w:val="80"/>
          <w:sz w:val="28"/>
          <w:highlight w:val="none"/>
        </w:rPr>
        <w:t>.2.</w:t>
      </w:r>
      <w:r>
        <w:rPr>
          <w:rFonts w:hint="eastAsia" w:ascii="宋体" w:hAnsi="宋体"/>
          <w:color w:val="auto"/>
          <w:w w:val="80"/>
          <w:sz w:val="28"/>
          <w:highlight w:val="none"/>
        </w:rPr>
        <w:t>7乙方不得任意转包其他人设计，乙方需提供主要人员的名单、职务及相关从业资质证明等。经甲方确认后的人员不得随意更换，若需变更人员须提前二周书面上报甲方经同意后方可执行。</w:t>
      </w:r>
    </w:p>
    <w:p>
      <w:pPr>
        <w:spacing w:line="400" w:lineRule="exact"/>
        <w:ind w:left="1" w:firstLine="557" w:firstLineChars="249"/>
        <w:rPr>
          <w:rFonts w:ascii="宋体" w:hAnsi="宋体"/>
          <w:color w:val="auto"/>
          <w:w w:val="80"/>
          <w:sz w:val="28"/>
          <w:highlight w:val="none"/>
        </w:rPr>
      </w:pPr>
      <w:r>
        <w:rPr>
          <w:rFonts w:hint="eastAsia" w:ascii="宋体" w:hAnsi="宋体"/>
          <w:color w:val="auto"/>
          <w:w w:val="80"/>
          <w:sz w:val="28"/>
          <w:highlight w:val="none"/>
        </w:rPr>
        <w:t>7.2.8乙方应积极配合甲方通过各项报建所需的全部相关手续，完成报建时所需的资料、设计图纸、设计修改等内容，并提前告知应由甲方所需要准备的资料，若因乙方的原因(含不被相关职能部门认可)，导致无法开展此项工作或导致报建工作延误，乙方应承担相应的经济损失和责任。</w:t>
      </w:r>
    </w:p>
    <w:p>
      <w:pPr>
        <w:spacing w:line="400" w:lineRule="exact"/>
        <w:ind w:left="1" w:firstLine="557" w:firstLineChars="249"/>
        <w:rPr>
          <w:rFonts w:ascii="宋体" w:hAnsi="宋体"/>
          <w:color w:val="auto"/>
          <w:w w:val="80"/>
          <w:sz w:val="28"/>
          <w:highlight w:val="none"/>
        </w:rPr>
      </w:pPr>
      <w:r>
        <w:rPr>
          <w:rFonts w:hint="eastAsia" w:ascii="宋体" w:hAnsi="宋体"/>
          <w:color w:val="auto"/>
          <w:w w:val="80"/>
          <w:sz w:val="28"/>
          <w:highlight w:val="none"/>
        </w:rPr>
        <w:t>7.2.</w:t>
      </w:r>
      <w:r>
        <w:rPr>
          <w:rFonts w:ascii="宋体" w:hAnsi="宋体"/>
          <w:color w:val="auto"/>
          <w:w w:val="80"/>
          <w:sz w:val="28"/>
          <w:highlight w:val="none"/>
        </w:rPr>
        <w:t>9</w:t>
      </w:r>
      <w:r>
        <w:rPr>
          <w:rFonts w:hint="eastAsia" w:ascii="宋体" w:hAnsi="宋体"/>
          <w:color w:val="auto"/>
          <w:w w:val="80"/>
          <w:sz w:val="28"/>
          <w:highlight w:val="none"/>
        </w:rPr>
        <w:t>乙方应对建筑设计院图纸中不符合海绵城市设计的内容主动提出修改意见，并具有成本控制意识，在满足最佳性价比的情况下，选用成本较低的方案或产品，若甲方对此有异议，有权聘请第三方机构进行核实，若属乙方责任，则需乙方承担第三方机构的全部费用(因此项内容而产生的费用)。</w:t>
      </w:r>
    </w:p>
    <w:p>
      <w:pPr>
        <w:spacing w:line="400" w:lineRule="exact"/>
        <w:rPr>
          <w:rFonts w:ascii="宋体" w:hAnsi="宋体"/>
          <w:b/>
          <w:color w:val="auto"/>
          <w:w w:val="80"/>
          <w:sz w:val="28"/>
          <w:highlight w:val="none"/>
        </w:rPr>
      </w:pPr>
      <w:r>
        <w:rPr>
          <w:rFonts w:hint="eastAsia" w:ascii="宋体" w:hAnsi="宋体"/>
          <w:color w:val="auto"/>
          <w:w w:val="80"/>
          <w:sz w:val="28"/>
          <w:highlight w:val="none"/>
        </w:rPr>
        <w:t xml:space="preserve">   　</w:t>
      </w:r>
      <w:r>
        <w:rPr>
          <w:rFonts w:hint="eastAsia" w:ascii="宋体" w:hAnsi="宋体"/>
          <w:b/>
          <w:color w:val="auto"/>
          <w:w w:val="80"/>
          <w:sz w:val="28"/>
          <w:highlight w:val="none"/>
        </w:rPr>
        <w:t>第八条　违约责任：</w:t>
      </w:r>
    </w:p>
    <w:p>
      <w:pPr>
        <w:spacing w:line="400" w:lineRule="exact"/>
        <w:ind w:firstLine="560" w:firstLineChars="250"/>
        <w:outlineLvl w:val="0"/>
        <w:rPr>
          <w:rFonts w:ascii="宋体" w:hAnsi="宋体"/>
          <w:color w:val="auto"/>
          <w:w w:val="80"/>
          <w:sz w:val="28"/>
          <w:highlight w:val="none"/>
        </w:rPr>
      </w:pPr>
      <w:r>
        <w:rPr>
          <w:rFonts w:hint="eastAsia" w:ascii="宋体" w:hAnsi="宋体"/>
          <w:color w:val="auto"/>
          <w:w w:val="80"/>
          <w:sz w:val="28"/>
          <w:highlight w:val="none"/>
        </w:rPr>
        <w:t>8.1　在合同履行期间，甲方要求终止或解除合同，甲方应根据乙方已进行的实际工作量，不足一半时，按该阶段设计费的一半支付；超过一半时，按该阶段实际完成工作量计取设计费。自甲方完成服务费支付，乙方已完成的工作量成果权属甲方。</w:t>
      </w:r>
    </w:p>
    <w:p>
      <w:pPr>
        <w:spacing w:line="400" w:lineRule="exact"/>
        <w:rPr>
          <w:rFonts w:ascii="宋体" w:hAnsi="宋体"/>
          <w:color w:val="auto"/>
          <w:w w:val="80"/>
          <w:sz w:val="28"/>
          <w:highlight w:val="none"/>
        </w:rPr>
      </w:pPr>
      <w:r>
        <w:rPr>
          <w:rFonts w:hint="eastAsia" w:ascii="宋体" w:hAnsi="宋体"/>
          <w:color w:val="auto"/>
          <w:w w:val="80"/>
          <w:sz w:val="28"/>
          <w:highlight w:val="none"/>
        </w:rPr>
        <w:t>　　 8</w:t>
      </w:r>
      <w:r>
        <w:rPr>
          <w:rFonts w:ascii="宋体" w:hAnsi="宋体"/>
          <w:color w:val="auto"/>
          <w:w w:val="80"/>
          <w:sz w:val="28"/>
          <w:highlight w:val="none"/>
        </w:rPr>
        <w:t>.2</w:t>
      </w:r>
      <w:r>
        <w:rPr>
          <w:rFonts w:hint="eastAsia" w:ascii="宋体" w:hAnsi="宋体"/>
          <w:color w:val="auto"/>
          <w:w w:val="80"/>
          <w:sz w:val="28"/>
          <w:highlight w:val="none"/>
        </w:rPr>
        <w:t>甲方应按本合同约定金额和时间向乙方支付设计费。</w:t>
      </w:r>
      <w:r>
        <w:rPr>
          <w:rFonts w:hint="eastAsia" w:ascii="宋体" w:hAnsi="宋体" w:cs="宋体"/>
          <w:color w:val="auto"/>
          <w:w w:val="80"/>
          <w:sz w:val="28"/>
          <w:highlight w:val="none"/>
        </w:rPr>
        <w:t xml:space="preserve">   </w:t>
      </w:r>
    </w:p>
    <w:p>
      <w:pPr>
        <w:spacing w:line="400" w:lineRule="exact"/>
        <w:rPr>
          <w:rFonts w:ascii="宋体" w:hAnsi="宋体"/>
          <w:color w:val="auto"/>
          <w:w w:val="80"/>
          <w:sz w:val="28"/>
          <w:highlight w:val="none"/>
        </w:rPr>
      </w:pPr>
      <w:r>
        <w:rPr>
          <w:rFonts w:hint="eastAsia" w:ascii="宋体" w:hAnsi="宋体"/>
          <w:color w:val="auto"/>
          <w:w w:val="80"/>
          <w:sz w:val="28"/>
          <w:highlight w:val="none"/>
        </w:rPr>
        <w:t>　 　8</w:t>
      </w:r>
      <w:r>
        <w:rPr>
          <w:rFonts w:ascii="宋体" w:hAnsi="宋体"/>
          <w:color w:val="auto"/>
          <w:w w:val="80"/>
          <w:sz w:val="28"/>
          <w:highlight w:val="none"/>
        </w:rPr>
        <w:t>.3</w:t>
      </w:r>
      <w:r>
        <w:rPr>
          <w:rFonts w:hint="eastAsia" w:ascii="宋体" w:hAnsi="宋体"/>
          <w:color w:val="auto"/>
          <w:w w:val="80"/>
          <w:sz w:val="28"/>
          <w:highlight w:val="none"/>
        </w:rPr>
        <w:t>乙方对设计资料及文件出现的遗漏或错误负责修改或补充。由于乙方错误造成工程质量事故损失，乙方除负责采取补救措施外，应免收直接受损失部分的设计费，并根据损失的程度和乙方责任大小向甲方支付赔偿金。</w:t>
      </w:r>
    </w:p>
    <w:p>
      <w:pPr>
        <w:spacing w:line="400" w:lineRule="exact"/>
        <w:rPr>
          <w:rFonts w:ascii="宋体" w:hAnsi="宋体"/>
          <w:b/>
          <w:color w:val="auto"/>
          <w:w w:val="80"/>
          <w:sz w:val="28"/>
          <w:highlight w:val="none"/>
        </w:rPr>
      </w:pPr>
      <w:r>
        <w:rPr>
          <w:rFonts w:hint="eastAsia" w:ascii="宋体" w:hAnsi="宋体"/>
          <w:color w:val="auto"/>
          <w:w w:val="80"/>
          <w:sz w:val="28"/>
          <w:highlight w:val="none"/>
        </w:rPr>
        <w:t xml:space="preserve">  </w:t>
      </w:r>
      <w:r>
        <w:rPr>
          <w:rFonts w:ascii="宋体" w:hAnsi="宋体"/>
          <w:color w:val="auto"/>
          <w:w w:val="80"/>
          <w:sz w:val="28"/>
          <w:highlight w:val="none"/>
        </w:rPr>
        <w:t xml:space="preserve"> </w:t>
      </w:r>
      <w:r>
        <w:rPr>
          <w:rFonts w:hint="eastAsia" w:ascii="宋体" w:hAnsi="宋体"/>
          <w:color w:val="auto"/>
          <w:w w:val="80"/>
          <w:sz w:val="28"/>
          <w:highlight w:val="none"/>
        </w:rPr>
        <w:t xml:space="preserve">  8</w:t>
      </w:r>
      <w:r>
        <w:rPr>
          <w:rFonts w:ascii="宋体" w:hAnsi="宋体"/>
          <w:color w:val="auto"/>
          <w:w w:val="80"/>
          <w:sz w:val="28"/>
          <w:highlight w:val="none"/>
        </w:rPr>
        <w:t>.4</w:t>
      </w:r>
      <w:r>
        <w:rPr>
          <w:rFonts w:hint="eastAsia" w:ascii="宋体" w:hAnsi="宋体"/>
          <w:color w:val="auto"/>
          <w:w w:val="80"/>
          <w:sz w:val="28"/>
          <w:highlight w:val="none"/>
        </w:rPr>
        <w:t>乙方提供的设计文件如不满足国家规定文件深度时、乙方必须进行重新设计，若仍不能达到规定深度要求，甲方有权解除合同，并由乙方向甲方全额赔偿由此而给甲方造成的损失。因乙方提交的设计资料及设计文件不符合设计任务书或当地主管部门要求的，乙方应主动进行整改，直至甲方或当地主管部门认可为止，乙方经3次修改仍不被认可的，甲方有权解除合同。</w:t>
      </w:r>
    </w:p>
    <w:p>
      <w:pPr>
        <w:spacing w:line="400" w:lineRule="exact"/>
        <w:rPr>
          <w:rFonts w:ascii="宋体" w:hAnsi="宋体"/>
          <w:color w:val="auto"/>
          <w:w w:val="80"/>
          <w:sz w:val="28"/>
          <w:highlight w:val="none"/>
        </w:rPr>
      </w:pPr>
      <w:r>
        <w:rPr>
          <w:rFonts w:hint="eastAsia" w:ascii="宋体" w:hAnsi="宋体"/>
          <w:color w:val="auto"/>
          <w:w w:val="80"/>
          <w:sz w:val="28"/>
          <w:highlight w:val="none"/>
        </w:rPr>
        <w:t xml:space="preserve">   </w:t>
      </w:r>
      <w:r>
        <w:rPr>
          <w:rFonts w:ascii="宋体" w:hAnsi="宋体"/>
          <w:color w:val="auto"/>
          <w:w w:val="80"/>
          <w:sz w:val="28"/>
          <w:highlight w:val="none"/>
        </w:rPr>
        <w:t xml:space="preserve"> </w:t>
      </w:r>
      <w:r>
        <w:rPr>
          <w:rFonts w:hint="eastAsia" w:ascii="宋体" w:hAnsi="宋体"/>
          <w:color w:val="auto"/>
          <w:w w:val="80"/>
          <w:sz w:val="28"/>
          <w:highlight w:val="none"/>
        </w:rPr>
        <w:t xml:space="preserve"> 8</w:t>
      </w:r>
      <w:r>
        <w:rPr>
          <w:rFonts w:ascii="宋体" w:hAnsi="宋体"/>
          <w:color w:val="auto"/>
          <w:w w:val="80"/>
          <w:sz w:val="28"/>
          <w:highlight w:val="none"/>
        </w:rPr>
        <w:t>.5</w:t>
      </w:r>
      <w:r>
        <w:rPr>
          <w:rFonts w:hint="eastAsia" w:ascii="宋体" w:hAnsi="宋体"/>
          <w:color w:val="auto"/>
          <w:w w:val="80"/>
          <w:sz w:val="28"/>
          <w:highlight w:val="none"/>
        </w:rPr>
        <w:t>乙方在设计过程中需严格按照甲方提供的设计任务书完成设计任务，同时对投资造价的控制不得超过甲方提出要求范围的5%。超出5%部分则按相应比例减少支付设计费用。</w:t>
      </w:r>
    </w:p>
    <w:p>
      <w:pPr>
        <w:spacing w:line="400" w:lineRule="exact"/>
        <w:rPr>
          <w:rFonts w:ascii="宋体" w:hAnsi="宋体"/>
          <w:color w:val="auto"/>
          <w:w w:val="80"/>
          <w:sz w:val="28"/>
          <w:highlight w:val="none"/>
        </w:rPr>
      </w:pPr>
      <w:r>
        <w:rPr>
          <w:rFonts w:hint="eastAsia" w:ascii="宋体" w:hAnsi="宋体"/>
          <w:color w:val="auto"/>
          <w:w w:val="80"/>
          <w:sz w:val="28"/>
          <w:highlight w:val="none"/>
        </w:rPr>
        <w:t>　　 8</w:t>
      </w:r>
      <w:r>
        <w:rPr>
          <w:rFonts w:ascii="宋体" w:hAnsi="宋体"/>
          <w:color w:val="auto"/>
          <w:w w:val="80"/>
          <w:sz w:val="28"/>
          <w:highlight w:val="none"/>
        </w:rPr>
        <w:t>.</w:t>
      </w:r>
      <w:r>
        <w:rPr>
          <w:rFonts w:hint="eastAsia" w:ascii="宋体" w:hAnsi="宋体"/>
          <w:color w:val="auto"/>
          <w:w w:val="80"/>
          <w:sz w:val="28"/>
          <w:highlight w:val="none"/>
        </w:rPr>
        <w:t>6由于乙方自身原因，延误了按本合同第五条规定的设计资料及设计文件的交付时间，每延误一天，应扣减合同价款的万分之二。逾期超过15日的，甲方有权解除合同，乙方须赔偿由此而给甲方造成的损失。</w:t>
      </w:r>
    </w:p>
    <w:p>
      <w:pPr>
        <w:spacing w:line="400" w:lineRule="exact"/>
        <w:ind w:firstLine="448" w:firstLineChars="200"/>
        <w:rPr>
          <w:rFonts w:hint="eastAsia" w:ascii="宋体" w:hAnsi="宋体"/>
          <w:color w:val="auto"/>
          <w:w w:val="80"/>
          <w:sz w:val="28"/>
          <w:highlight w:val="none"/>
        </w:rPr>
      </w:pPr>
      <w:r>
        <w:rPr>
          <w:rFonts w:hint="eastAsia" w:ascii="宋体" w:hAnsi="宋体"/>
          <w:color w:val="auto"/>
          <w:w w:val="80"/>
          <w:sz w:val="28"/>
          <w:highlight w:val="none"/>
        </w:rPr>
        <w:t>8</w:t>
      </w:r>
      <w:r>
        <w:rPr>
          <w:rFonts w:ascii="宋体" w:hAnsi="宋体"/>
          <w:color w:val="auto"/>
          <w:w w:val="80"/>
          <w:sz w:val="28"/>
          <w:highlight w:val="none"/>
        </w:rPr>
        <w:t>.</w:t>
      </w:r>
      <w:r>
        <w:rPr>
          <w:rFonts w:hint="eastAsia" w:ascii="宋体" w:hAnsi="宋体"/>
          <w:color w:val="auto"/>
          <w:w w:val="80"/>
          <w:sz w:val="28"/>
          <w:highlight w:val="none"/>
        </w:rPr>
        <w:t>7合同生效后，乙方要求终止或解除合同，乙方按照本合同总费用的2</w:t>
      </w:r>
      <w:r>
        <w:rPr>
          <w:rFonts w:ascii="宋体" w:hAnsi="宋体"/>
          <w:color w:val="auto"/>
          <w:w w:val="80"/>
          <w:sz w:val="28"/>
          <w:highlight w:val="none"/>
        </w:rPr>
        <w:t>0</w:t>
      </w:r>
      <w:r>
        <w:rPr>
          <w:rFonts w:hint="eastAsia" w:ascii="宋体" w:hAnsi="宋体"/>
          <w:color w:val="auto"/>
          <w:w w:val="80"/>
          <w:sz w:val="28"/>
          <w:highlight w:val="none"/>
        </w:rPr>
        <w:t>%向甲方支付违约金。</w:t>
      </w:r>
      <w:bookmarkStart w:id="0" w:name="OLE_LINK1"/>
    </w:p>
    <w:p>
      <w:pPr>
        <w:spacing w:line="400" w:lineRule="exact"/>
        <w:ind w:firstLine="450" w:firstLineChars="200"/>
        <w:rPr>
          <w:rFonts w:ascii="宋体" w:hAnsi="宋体"/>
          <w:color w:val="auto"/>
          <w:w w:val="80"/>
          <w:sz w:val="28"/>
          <w:highlight w:val="none"/>
        </w:rPr>
      </w:pPr>
      <w:r>
        <w:rPr>
          <w:rFonts w:hint="eastAsia" w:ascii="宋体" w:hAnsi="宋体"/>
          <w:b/>
          <w:color w:val="auto"/>
          <w:w w:val="80"/>
          <w:sz w:val="28"/>
          <w:highlight w:val="none"/>
        </w:rPr>
        <w:t>第九条　</w:t>
      </w:r>
      <w:r>
        <w:rPr>
          <w:rFonts w:hint="eastAsia" w:ascii="宋体" w:hAnsi="宋体"/>
          <w:b/>
          <w:bCs/>
          <w:color w:val="auto"/>
          <w:w w:val="80"/>
          <w:sz w:val="28"/>
          <w:highlight w:val="none"/>
        </w:rPr>
        <w:t>其他</w:t>
      </w:r>
      <w:bookmarkEnd w:id="0"/>
    </w:p>
    <w:p>
      <w:pPr>
        <w:spacing w:line="400" w:lineRule="exact"/>
        <w:rPr>
          <w:rFonts w:ascii="宋体" w:hAnsi="宋体"/>
          <w:color w:val="auto"/>
          <w:w w:val="80"/>
          <w:sz w:val="28"/>
          <w:highlight w:val="none"/>
        </w:rPr>
      </w:pPr>
      <w:r>
        <w:rPr>
          <w:rFonts w:hint="eastAsia" w:ascii="宋体" w:hAnsi="宋体"/>
          <w:color w:val="auto"/>
          <w:w w:val="80"/>
          <w:sz w:val="28"/>
          <w:highlight w:val="none"/>
        </w:rPr>
        <w:t>　　9</w:t>
      </w:r>
      <w:r>
        <w:rPr>
          <w:rFonts w:ascii="宋体" w:hAnsi="宋体"/>
          <w:color w:val="auto"/>
          <w:w w:val="80"/>
          <w:sz w:val="28"/>
          <w:highlight w:val="none"/>
        </w:rPr>
        <w:t>.</w:t>
      </w:r>
      <w:r>
        <w:rPr>
          <w:rFonts w:hint="eastAsia" w:ascii="宋体" w:hAnsi="宋体"/>
          <w:color w:val="auto"/>
          <w:w w:val="80"/>
          <w:sz w:val="28"/>
          <w:highlight w:val="none"/>
        </w:rPr>
        <w:t>1由于不可抗力因素或政策变更致使合同无法履行时，任一方均有权单方解除合同，双方互不承担违约责任。</w:t>
      </w:r>
    </w:p>
    <w:p>
      <w:pPr>
        <w:spacing w:line="400" w:lineRule="exact"/>
        <w:rPr>
          <w:rFonts w:ascii="宋体" w:hAnsi="宋体"/>
          <w:color w:val="auto"/>
          <w:w w:val="80"/>
          <w:sz w:val="28"/>
          <w:highlight w:val="none"/>
        </w:rPr>
      </w:pPr>
      <w:r>
        <w:rPr>
          <w:rFonts w:hint="eastAsia" w:ascii="宋体" w:hAnsi="宋体"/>
          <w:color w:val="auto"/>
          <w:w w:val="80"/>
          <w:sz w:val="28"/>
          <w:highlight w:val="none"/>
        </w:rPr>
        <w:t>　　9</w:t>
      </w:r>
      <w:r>
        <w:rPr>
          <w:rFonts w:ascii="宋体" w:hAnsi="宋体"/>
          <w:color w:val="auto"/>
          <w:w w:val="80"/>
          <w:sz w:val="28"/>
          <w:highlight w:val="none"/>
        </w:rPr>
        <w:t>.</w:t>
      </w:r>
      <w:r>
        <w:rPr>
          <w:rFonts w:hint="eastAsia" w:ascii="宋体" w:hAnsi="宋体"/>
          <w:color w:val="auto"/>
          <w:w w:val="80"/>
          <w:sz w:val="28"/>
          <w:highlight w:val="none"/>
        </w:rPr>
        <w:t>2本合同发生争议，双方当事人应及时协商解决，协商未果的，可向工程所在地的法院管辖。</w:t>
      </w:r>
    </w:p>
    <w:p>
      <w:pPr>
        <w:spacing w:line="400" w:lineRule="exact"/>
        <w:rPr>
          <w:rFonts w:ascii="宋体" w:hAnsi="宋体"/>
          <w:color w:val="auto"/>
          <w:w w:val="80"/>
          <w:sz w:val="28"/>
          <w:highlight w:val="none"/>
        </w:rPr>
      </w:pPr>
      <w:r>
        <w:rPr>
          <w:rFonts w:hint="eastAsia" w:ascii="宋体" w:hAnsi="宋体"/>
          <w:color w:val="auto"/>
          <w:w w:val="80"/>
          <w:sz w:val="28"/>
          <w:highlight w:val="none"/>
        </w:rPr>
        <w:t>　　9</w:t>
      </w:r>
      <w:r>
        <w:rPr>
          <w:rFonts w:ascii="宋体" w:hAnsi="宋体"/>
          <w:color w:val="auto"/>
          <w:w w:val="80"/>
          <w:sz w:val="28"/>
          <w:highlight w:val="none"/>
        </w:rPr>
        <w:t>.</w:t>
      </w:r>
      <w:r>
        <w:rPr>
          <w:rFonts w:hint="eastAsia" w:ascii="宋体" w:hAnsi="宋体"/>
          <w:color w:val="auto"/>
          <w:w w:val="80"/>
          <w:sz w:val="28"/>
          <w:highlight w:val="none"/>
        </w:rPr>
        <w:t>3本合同一式</w:t>
      </w:r>
      <w:r>
        <w:rPr>
          <w:rFonts w:ascii="宋体" w:hAnsi="宋体"/>
          <w:color w:val="auto"/>
          <w:w w:val="80"/>
          <w:sz w:val="28"/>
          <w:highlight w:val="none"/>
        </w:rPr>
        <w:t>__</w:t>
      </w:r>
      <w:r>
        <w:rPr>
          <w:rFonts w:hint="eastAsia" w:ascii="宋体" w:hAnsi="宋体"/>
          <w:color w:val="auto"/>
          <w:w w:val="80"/>
          <w:sz w:val="28"/>
          <w:highlight w:val="none"/>
          <w:u w:val="single"/>
        </w:rPr>
        <w:t>陆</w:t>
      </w:r>
      <w:r>
        <w:rPr>
          <w:rFonts w:ascii="宋体" w:hAnsi="宋体"/>
          <w:color w:val="auto"/>
          <w:w w:val="80"/>
          <w:sz w:val="28"/>
          <w:highlight w:val="none"/>
        </w:rPr>
        <w:t>_</w:t>
      </w:r>
      <w:r>
        <w:rPr>
          <w:rFonts w:hint="eastAsia" w:ascii="宋体" w:hAnsi="宋体"/>
          <w:color w:val="auto"/>
          <w:w w:val="80"/>
          <w:sz w:val="28"/>
          <w:highlight w:val="none"/>
        </w:rPr>
        <w:t>份，甲方</w:t>
      </w:r>
      <w:r>
        <w:rPr>
          <w:rFonts w:ascii="宋体" w:hAnsi="宋体"/>
          <w:color w:val="auto"/>
          <w:w w:val="80"/>
          <w:sz w:val="28"/>
          <w:highlight w:val="none"/>
        </w:rPr>
        <w:t>__</w:t>
      </w:r>
      <w:r>
        <w:rPr>
          <w:rFonts w:hint="eastAsia" w:ascii="宋体" w:hAnsi="宋体"/>
          <w:color w:val="auto"/>
          <w:w w:val="80"/>
          <w:sz w:val="28"/>
          <w:highlight w:val="none"/>
          <w:u w:val="single"/>
        </w:rPr>
        <w:t>叁</w:t>
      </w:r>
      <w:r>
        <w:rPr>
          <w:rFonts w:ascii="宋体" w:hAnsi="宋体"/>
          <w:color w:val="auto"/>
          <w:w w:val="80"/>
          <w:sz w:val="28"/>
          <w:highlight w:val="none"/>
          <w:u w:val="single"/>
        </w:rPr>
        <w:t>__</w:t>
      </w:r>
      <w:r>
        <w:rPr>
          <w:rFonts w:ascii="宋体" w:hAnsi="宋体"/>
          <w:color w:val="auto"/>
          <w:w w:val="80"/>
          <w:sz w:val="28"/>
          <w:highlight w:val="none"/>
        </w:rPr>
        <w:t>_</w:t>
      </w:r>
      <w:r>
        <w:rPr>
          <w:rFonts w:hint="eastAsia" w:ascii="宋体" w:hAnsi="宋体"/>
          <w:color w:val="auto"/>
          <w:w w:val="80"/>
          <w:sz w:val="28"/>
          <w:highlight w:val="none"/>
        </w:rPr>
        <w:t>份，乙方</w:t>
      </w:r>
      <w:r>
        <w:rPr>
          <w:rFonts w:ascii="宋体" w:hAnsi="宋体"/>
          <w:color w:val="auto"/>
          <w:w w:val="80"/>
          <w:sz w:val="28"/>
          <w:highlight w:val="none"/>
          <w:u w:val="single"/>
        </w:rPr>
        <w:t>__</w:t>
      </w:r>
      <w:r>
        <w:rPr>
          <w:rFonts w:hint="eastAsia" w:ascii="宋体" w:hAnsi="宋体"/>
          <w:color w:val="auto"/>
          <w:w w:val="80"/>
          <w:sz w:val="28"/>
          <w:highlight w:val="none"/>
          <w:u w:val="single"/>
        </w:rPr>
        <w:t>叁</w:t>
      </w:r>
      <w:r>
        <w:rPr>
          <w:rFonts w:ascii="宋体" w:hAnsi="宋体"/>
          <w:color w:val="auto"/>
          <w:w w:val="80"/>
          <w:sz w:val="28"/>
          <w:highlight w:val="none"/>
        </w:rPr>
        <w:t>___</w:t>
      </w:r>
      <w:r>
        <w:rPr>
          <w:rFonts w:hint="eastAsia" w:ascii="宋体" w:hAnsi="宋体"/>
          <w:color w:val="auto"/>
          <w:w w:val="80"/>
          <w:sz w:val="28"/>
          <w:highlight w:val="none"/>
        </w:rPr>
        <w:t>份。</w:t>
      </w:r>
    </w:p>
    <w:p>
      <w:pPr>
        <w:spacing w:line="400" w:lineRule="exact"/>
        <w:rPr>
          <w:rFonts w:ascii="宋体" w:hAnsi="宋体"/>
          <w:color w:val="auto"/>
          <w:w w:val="80"/>
          <w:sz w:val="28"/>
          <w:highlight w:val="none"/>
        </w:rPr>
      </w:pPr>
      <w:r>
        <w:rPr>
          <w:rFonts w:hint="eastAsia" w:ascii="宋体" w:hAnsi="宋体"/>
          <w:color w:val="auto"/>
          <w:w w:val="80"/>
          <w:sz w:val="28"/>
          <w:highlight w:val="none"/>
        </w:rPr>
        <w:t>　　9</w:t>
      </w:r>
      <w:r>
        <w:rPr>
          <w:rFonts w:ascii="宋体" w:hAnsi="宋体"/>
          <w:color w:val="auto"/>
          <w:w w:val="80"/>
          <w:sz w:val="28"/>
          <w:highlight w:val="none"/>
        </w:rPr>
        <w:t>.</w:t>
      </w:r>
      <w:r>
        <w:rPr>
          <w:rFonts w:hint="eastAsia" w:ascii="宋体" w:hAnsi="宋体"/>
          <w:color w:val="auto"/>
          <w:w w:val="80"/>
          <w:sz w:val="28"/>
          <w:highlight w:val="none"/>
        </w:rPr>
        <w:t>4本合同经双方签章后生效。</w:t>
      </w:r>
    </w:p>
    <w:p>
      <w:pPr>
        <w:spacing w:line="400" w:lineRule="exact"/>
        <w:rPr>
          <w:rFonts w:ascii="宋体" w:hAnsi="宋体"/>
          <w:color w:val="auto"/>
          <w:w w:val="80"/>
          <w:sz w:val="28"/>
          <w:highlight w:val="none"/>
        </w:rPr>
      </w:pPr>
      <w:r>
        <w:rPr>
          <w:rFonts w:hint="eastAsia" w:ascii="宋体" w:hAnsi="宋体"/>
          <w:color w:val="auto"/>
          <w:w w:val="80"/>
          <w:sz w:val="28"/>
          <w:highlight w:val="none"/>
        </w:rPr>
        <w:t>　　9</w:t>
      </w:r>
      <w:r>
        <w:rPr>
          <w:rFonts w:ascii="宋体" w:hAnsi="宋体"/>
          <w:color w:val="auto"/>
          <w:w w:val="80"/>
          <w:sz w:val="28"/>
          <w:highlight w:val="none"/>
        </w:rPr>
        <w:t>.</w:t>
      </w:r>
      <w:r>
        <w:rPr>
          <w:rFonts w:hint="eastAsia" w:ascii="宋体" w:hAnsi="宋体"/>
          <w:color w:val="auto"/>
          <w:w w:val="80"/>
          <w:sz w:val="28"/>
          <w:highlight w:val="none"/>
        </w:rPr>
        <w:t>5本合同未尽事宜，双方可签订补充协议，有关协议及双方认可的来往邮件、会议纪要等，均为本合同组成部分，与本合同具有同等法律效力。</w:t>
      </w:r>
    </w:p>
    <w:p>
      <w:pPr>
        <w:spacing w:line="400" w:lineRule="exact"/>
        <w:ind w:firstLine="480"/>
        <w:rPr>
          <w:rFonts w:ascii="宋体" w:hAnsi="宋体"/>
          <w:color w:val="auto"/>
          <w:w w:val="80"/>
          <w:sz w:val="28"/>
          <w:highlight w:val="none"/>
        </w:rPr>
      </w:pPr>
      <w:r>
        <w:rPr>
          <w:rFonts w:hint="eastAsia" w:ascii="宋体" w:hAnsi="宋体"/>
          <w:color w:val="auto"/>
          <w:w w:val="80"/>
          <w:sz w:val="28"/>
          <w:highlight w:val="none"/>
        </w:rPr>
        <w:t>9</w:t>
      </w:r>
      <w:r>
        <w:rPr>
          <w:rFonts w:ascii="宋体" w:hAnsi="宋体"/>
          <w:color w:val="auto"/>
          <w:w w:val="80"/>
          <w:sz w:val="28"/>
          <w:highlight w:val="none"/>
        </w:rPr>
        <w:t>.</w:t>
      </w:r>
      <w:r>
        <w:rPr>
          <w:rFonts w:hint="eastAsia" w:ascii="宋体" w:hAnsi="宋体"/>
          <w:color w:val="auto"/>
          <w:w w:val="80"/>
          <w:sz w:val="28"/>
          <w:highlight w:val="none"/>
        </w:rPr>
        <w:t>6其它约定事项:</w:t>
      </w:r>
    </w:p>
    <w:p>
      <w:pPr>
        <w:spacing w:line="400" w:lineRule="exact"/>
        <w:ind w:firstLine="480"/>
        <w:rPr>
          <w:rFonts w:ascii="宋体" w:hAnsi="宋体"/>
          <w:color w:val="auto"/>
          <w:w w:val="80"/>
          <w:sz w:val="28"/>
          <w:highlight w:val="none"/>
        </w:rPr>
      </w:pPr>
      <w:r>
        <w:rPr>
          <w:rFonts w:hint="eastAsia" w:ascii="宋体" w:hAnsi="宋体"/>
          <w:color w:val="auto"/>
          <w:w w:val="80"/>
          <w:sz w:val="28"/>
          <w:highlight w:val="none"/>
        </w:rPr>
        <w:t>9</w:t>
      </w:r>
      <w:r>
        <w:rPr>
          <w:rFonts w:ascii="宋体" w:hAnsi="宋体"/>
          <w:color w:val="auto"/>
          <w:w w:val="80"/>
          <w:sz w:val="28"/>
          <w:highlight w:val="none"/>
        </w:rPr>
        <w:t>.</w:t>
      </w:r>
      <w:r>
        <w:rPr>
          <w:rFonts w:hint="eastAsia" w:ascii="宋体" w:hAnsi="宋体"/>
          <w:color w:val="auto"/>
          <w:w w:val="80"/>
          <w:sz w:val="28"/>
          <w:highlight w:val="none"/>
        </w:rPr>
        <w:t>6</w:t>
      </w:r>
      <w:r>
        <w:rPr>
          <w:rFonts w:ascii="宋体" w:hAnsi="宋体"/>
          <w:color w:val="auto"/>
          <w:w w:val="80"/>
          <w:sz w:val="28"/>
          <w:highlight w:val="none"/>
        </w:rPr>
        <w:t>.1</w:t>
      </w:r>
      <w:r>
        <w:rPr>
          <w:rFonts w:hint="eastAsia" w:ascii="宋体" w:hAnsi="宋体"/>
          <w:color w:val="auto"/>
          <w:w w:val="80"/>
          <w:sz w:val="28"/>
          <w:highlight w:val="none"/>
        </w:rPr>
        <w:t>乙方应介入甲方指定的其他设计单位的联合设计工作,负责相关的设计工作，并协调好各专业设计的工作，并确保通过海绵城市的图审。</w:t>
      </w:r>
    </w:p>
    <w:p>
      <w:pPr>
        <w:spacing w:line="400" w:lineRule="exact"/>
        <w:ind w:firstLine="480"/>
        <w:rPr>
          <w:rFonts w:ascii="宋体" w:hAnsi="宋体"/>
          <w:color w:val="auto"/>
          <w:w w:val="80"/>
          <w:sz w:val="28"/>
          <w:highlight w:val="none"/>
        </w:rPr>
      </w:pPr>
      <w:r>
        <w:rPr>
          <w:rFonts w:hint="eastAsia" w:ascii="宋体" w:hAnsi="宋体"/>
          <w:color w:val="auto"/>
          <w:w w:val="80"/>
          <w:sz w:val="28"/>
          <w:highlight w:val="none"/>
        </w:rPr>
        <w:t>9.6.2项目主要人员在本工程设计周期内不再承担其他项目设计任务，人员有调整时，必须经甲方主管工程师同意。</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 xml:space="preserve">9.6.3各专业负责人提供24小时畅通热线。      </w:t>
      </w:r>
    </w:p>
    <w:p>
      <w:pPr>
        <w:spacing w:line="400" w:lineRule="exact"/>
        <w:ind w:firstLine="480"/>
        <w:jc w:val="left"/>
        <w:rPr>
          <w:rFonts w:ascii="宋体" w:hAnsi="宋体"/>
          <w:color w:val="auto"/>
          <w:w w:val="80"/>
          <w:sz w:val="28"/>
          <w:highlight w:val="none"/>
        </w:rPr>
      </w:pPr>
      <w:r>
        <w:rPr>
          <w:rFonts w:hint="eastAsia" w:ascii="宋体" w:hAnsi="宋体"/>
          <w:color w:val="auto"/>
          <w:w w:val="80"/>
          <w:sz w:val="28"/>
          <w:highlight w:val="none"/>
        </w:rPr>
        <w:t>9.6.4乙方不准私自为承建商出设计变更。</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9.6.5双方指定联系方式如下，一方当事人可采用直接告知、邮寄、电子邮件或者其他合法方式通知对方当事人。本合同约定通讯地址，为①双方在非诉时传送各类通知、协议、资料，以及处理履约纠纷时，需送达的各文件和法律文书。②及争议进入民事诉讼程序后的一审、二审、再审和执行程序的送达。任一方联系方式发生变动，须提前三天书面告知对方，否则引起送达不到的法律责任由变动方自行承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78"/>
        <w:gridCol w:w="1448"/>
        <w:gridCol w:w="2407"/>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spacing w:line="400" w:lineRule="exact"/>
              <w:ind w:firstLine="448" w:firstLineChars="200"/>
              <w:rPr>
                <w:rFonts w:ascii="宋体" w:hAnsi="宋体"/>
                <w:color w:val="auto"/>
                <w:w w:val="80"/>
                <w:sz w:val="28"/>
                <w:highlight w:val="none"/>
              </w:rPr>
            </w:pPr>
          </w:p>
        </w:tc>
        <w:tc>
          <w:tcPr>
            <w:tcW w:w="978" w:type="dxa"/>
          </w:tcPr>
          <w:p>
            <w:pPr>
              <w:spacing w:line="400" w:lineRule="exact"/>
              <w:rPr>
                <w:rFonts w:ascii="宋体" w:hAnsi="宋体"/>
                <w:color w:val="auto"/>
                <w:w w:val="80"/>
                <w:sz w:val="28"/>
                <w:highlight w:val="none"/>
              </w:rPr>
            </w:pPr>
            <w:r>
              <w:rPr>
                <w:rFonts w:hint="eastAsia" w:ascii="宋体" w:hAnsi="宋体"/>
                <w:color w:val="auto"/>
                <w:w w:val="80"/>
                <w:sz w:val="28"/>
                <w:highlight w:val="none"/>
              </w:rPr>
              <w:t>联系人</w:t>
            </w:r>
          </w:p>
        </w:tc>
        <w:tc>
          <w:tcPr>
            <w:tcW w:w="1444" w:type="dxa"/>
          </w:tcPr>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电话</w:t>
            </w:r>
          </w:p>
        </w:tc>
        <w:tc>
          <w:tcPr>
            <w:tcW w:w="2407" w:type="dxa"/>
          </w:tcPr>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邮箱</w:t>
            </w:r>
          </w:p>
        </w:tc>
        <w:tc>
          <w:tcPr>
            <w:tcW w:w="4076" w:type="dxa"/>
          </w:tcPr>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08" w:type="dxa"/>
          </w:tcPr>
          <w:p>
            <w:pPr>
              <w:spacing w:line="400" w:lineRule="exact"/>
              <w:jc w:val="center"/>
              <w:rPr>
                <w:rFonts w:ascii="宋体" w:hAnsi="宋体"/>
                <w:color w:val="auto"/>
                <w:w w:val="80"/>
                <w:sz w:val="28"/>
                <w:highlight w:val="none"/>
              </w:rPr>
            </w:pPr>
            <w:r>
              <w:rPr>
                <w:rFonts w:hint="eastAsia" w:ascii="宋体" w:hAnsi="宋体"/>
                <w:color w:val="auto"/>
                <w:w w:val="80"/>
                <w:sz w:val="28"/>
                <w:highlight w:val="none"/>
              </w:rPr>
              <w:t>甲方</w:t>
            </w:r>
          </w:p>
        </w:tc>
        <w:tc>
          <w:tcPr>
            <w:tcW w:w="978" w:type="dxa"/>
          </w:tcPr>
          <w:p>
            <w:pPr>
              <w:spacing w:line="400" w:lineRule="exact"/>
              <w:jc w:val="center"/>
              <w:rPr>
                <w:rFonts w:ascii="宋体" w:hAnsi="宋体"/>
                <w:color w:val="auto"/>
                <w:w w:val="80"/>
                <w:sz w:val="28"/>
                <w:highlight w:val="none"/>
              </w:rPr>
            </w:pPr>
            <w:r>
              <w:rPr>
                <w:rFonts w:hint="eastAsia" w:ascii="宋体" w:hAnsi="宋体"/>
                <w:color w:val="auto"/>
                <w:w w:val="80"/>
                <w:sz w:val="28"/>
                <w:highlight w:val="none"/>
              </w:rPr>
              <w:t>曾金标</w:t>
            </w:r>
          </w:p>
        </w:tc>
        <w:tc>
          <w:tcPr>
            <w:tcW w:w="1444" w:type="dxa"/>
          </w:tcPr>
          <w:p>
            <w:pPr>
              <w:spacing w:line="400" w:lineRule="exact"/>
              <w:jc w:val="center"/>
              <w:rPr>
                <w:rFonts w:ascii="宋体" w:hAnsi="宋体"/>
                <w:color w:val="auto"/>
                <w:w w:val="80"/>
                <w:sz w:val="28"/>
                <w:highlight w:val="none"/>
              </w:rPr>
            </w:pPr>
            <w:r>
              <w:rPr>
                <w:rFonts w:hint="eastAsia" w:ascii="宋体" w:hAnsi="宋体"/>
                <w:color w:val="auto"/>
                <w:w w:val="80"/>
                <w:sz w:val="28"/>
                <w:highlight w:val="none"/>
              </w:rPr>
              <w:t>13556350978</w:t>
            </w:r>
          </w:p>
        </w:tc>
        <w:tc>
          <w:tcPr>
            <w:tcW w:w="2407" w:type="dxa"/>
          </w:tcPr>
          <w:p>
            <w:pPr>
              <w:spacing w:line="400" w:lineRule="exact"/>
              <w:ind w:firstLine="448" w:firstLineChars="200"/>
              <w:rPr>
                <w:rFonts w:ascii="宋体" w:hAnsi="宋体"/>
                <w:color w:val="auto"/>
                <w:w w:val="80"/>
                <w:sz w:val="28"/>
                <w:highlight w:val="none"/>
              </w:rPr>
            </w:pPr>
          </w:p>
        </w:tc>
        <w:tc>
          <w:tcPr>
            <w:tcW w:w="4076" w:type="dxa"/>
          </w:tcPr>
          <w:p>
            <w:pPr>
              <w:spacing w:line="400" w:lineRule="exact"/>
              <w:rPr>
                <w:rFonts w:ascii="宋体" w:hAnsi="宋体"/>
                <w:color w:val="auto"/>
                <w:w w:val="80"/>
                <w:sz w:val="28"/>
                <w:highlight w:val="none"/>
              </w:rPr>
            </w:pPr>
            <w:r>
              <w:rPr>
                <w:rFonts w:hint="eastAsia" w:ascii="宋体" w:hAnsi="宋体"/>
                <w:color w:val="auto"/>
                <w:w w:val="80"/>
                <w:sz w:val="28"/>
                <w:highlight w:val="none"/>
                <w:lang w:val="zh-CN"/>
              </w:rPr>
              <w:t>广州市天河区林和</w:t>
            </w:r>
            <w:r>
              <w:rPr>
                <w:rFonts w:hint="eastAsia" w:ascii="宋体" w:hAnsi="宋体"/>
                <w:color w:val="auto"/>
                <w:w w:val="80"/>
                <w:sz w:val="28"/>
                <w:highlight w:val="none"/>
              </w:rPr>
              <w:t>西</w:t>
            </w:r>
            <w:r>
              <w:rPr>
                <w:rFonts w:hint="eastAsia" w:ascii="宋体" w:hAnsi="宋体"/>
                <w:color w:val="auto"/>
                <w:w w:val="80"/>
                <w:sz w:val="28"/>
                <w:highlight w:val="none"/>
                <w:lang w:val="zh-CN"/>
              </w:rPr>
              <w:t>路</w:t>
            </w:r>
            <w:r>
              <w:rPr>
                <w:rFonts w:hint="eastAsia" w:ascii="宋体" w:hAnsi="宋体"/>
                <w:color w:val="auto"/>
                <w:w w:val="80"/>
                <w:sz w:val="28"/>
                <w:highlight w:val="none"/>
              </w:rPr>
              <w:t>157</w:t>
            </w:r>
            <w:r>
              <w:rPr>
                <w:rFonts w:hint="eastAsia" w:ascii="宋体" w:hAnsi="宋体"/>
                <w:color w:val="auto"/>
                <w:w w:val="80"/>
                <w:sz w:val="28"/>
                <w:highlight w:val="none"/>
                <w:lang w:val="zh-CN"/>
              </w:rPr>
              <w:t>号</w:t>
            </w:r>
            <w:r>
              <w:rPr>
                <w:rFonts w:hint="eastAsia" w:ascii="宋体" w:hAnsi="宋体"/>
                <w:color w:val="auto"/>
                <w:w w:val="80"/>
                <w:sz w:val="28"/>
                <w:highlight w:val="none"/>
              </w:rPr>
              <w:t>保利中汇广场A座</w:t>
            </w:r>
            <w:r>
              <w:rPr>
                <w:rFonts w:hint="eastAsia" w:ascii="宋体" w:hAnsi="宋体"/>
                <w:color w:val="auto"/>
                <w:w w:val="80"/>
                <w:sz w:val="28"/>
                <w:highlight w:val="none"/>
                <w:lang w:val="zh-CN"/>
              </w:rPr>
              <w:t>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spacing w:line="400" w:lineRule="exact"/>
              <w:rPr>
                <w:rFonts w:ascii="宋体" w:hAnsi="宋体"/>
                <w:color w:val="auto"/>
                <w:w w:val="80"/>
                <w:sz w:val="28"/>
                <w:highlight w:val="none"/>
              </w:rPr>
            </w:pPr>
            <w:r>
              <w:rPr>
                <w:rFonts w:hint="eastAsia" w:ascii="宋体" w:hAnsi="宋体"/>
                <w:color w:val="auto"/>
                <w:w w:val="80"/>
                <w:sz w:val="28"/>
                <w:highlight w:val="none"/>
              </w:rPr>
              <w:t>乙方</w:t>
            </w:r>
          </w:p>
        </w:tc>
        <w:tc>
          <w:tcPr>
            <w:tcW w:w="978" w:type="dxa"/>
          </w:tcPr>
          <w:p>
            <w:pPr>
              <w:spacing w:line="400" w:lineRule="exact"/>
              <w:ind w:firstLine="448" w:firstLineChars="200"/>
              <w:rPr>
                <w:rFonts w:ascii="宋体" w:hAnsi="宋体"/>
                <w:color w:val="auto"/>
                <w:w w:val="80"/>
                <w:sz w:val="28"/>
                <w:highlight w:val="none"/>
              </w:rPr>
            </w:pPr>
          </w:p>
        </w:tc>
        <w:tc>
          <w:tcPr>
            <w:tcW w:w="1444" w:type="dxa"/>
          </w:tcPr>
          <w:p>
            <w:pPr>
              <w:spacing w:line="400" w:lineRule="exact"/>
              <w:ind w:firstLine="448" w:firstLineChars="200"/>
              <w:rPr>
                <w:rFonts w:ascii="宋体" w:hAnsi="宋体"/>
                <w:color w:val="auto"/>
                <w:w w:val="80"/>
                <w:sz w:val="28"/>
                <w:highlight w:val="none"/>
              </w:rPr>
            </w:pPr>
          </w:p>
        </w:tc>
        <w:tc>
          <w:tcPr>
            <w:tcW w:w="2407" w:type="dxa"/>
          </w:tcPr>
          <w:p>
            <w:pPr>
              <w:spacing w:line="400" w:lineRule="exact"/>
              <w:ind w:firstLine="448" w:firstLineChars="200"/>
              <w:rPr>
                <w:rFonts w:ascii="宋体" w:hAnsi="宋体"/>
                <w:color w:val="auto"/>
                <w:w w:val="80"/>
                <w:sz w:val="28"/>
                <w:highlight w:val="none"/>
              </w:rPr>
            </w:pPr>
          </w:p>
        </w:tc>
        <w:tc>
          <w:tcPr>
            <w:tcW w:w="4076" w:type="dxa"/>
          </w:tcPr>
          <w:p>
            <w:pPr>
              <w:spacing w:line="400" w:lineRule="exact"/>
              <w:ind w:firstLine="448" w:firstLineChars="200"/>
              <w:rPr>
                <w:rFonts w:ascii="宋体" w:hAnsi="宋体"/>
                <w:color w:val="auto"/>
                <w:w w:val="80"/>
                <w:sz w:val="28"/>
                <w:highlight w:val="none"/>
              </w:rPr>
            </w:pPr>
          </w:p>
        </w:tc>
      </w:tr>
    </w:tbl>
    <w:p>
      <w:pPr>
        <w:spacing w:line="400" w:lineRule="exact"/>
        <w:ind w:firstLine="480"/>
        <w:jc w:val="left"/>
        <w:rPr>
          <w:rFonts w:ascii="宋体" w:hAnsi="宋体"/>
          <w:color w:val="auto"/>
          <w:w w:val="80"/>
          <w:sz w:val="28"/>
          <w:highlight w:val="none"/>
        </w:rPr>
      </w:pPr>
    </w:p>
    <w:p>
      <w:pPr>
        <w:spacing w:line="400" w:lineRule="exact"/>
        <w:ind w:left="-46" w:leftChars="-22" w:firstLine="336" w:firstLineChars="150"/>
        <w:rPr>
          <w:rFonts w:ascii="宋体" w:hAnsi="宋体"/>
          <w:color w:val="auto"/>
          <w:w w:val="80"/>
          <w:sz w:val="28"/>
          <w:highlight w:val="none"/>
        </w:rPr>
      </w:pPr>
    </w:p>
    <w:p>
      <w:pPr>
        <w:spacing w:line="400" w:lineRule="exact"/>
        <w:ind w:left="-46" w:leftChars="-22" w:firstLine="336" w:firstLineChars="150"/>
        <w:rPr>
          <w:rFonts w:ascii="宋体" w:hAnsi="宋体"/>
          <w:color w:val="auto"/>
          <w:w w:val="80"/>
          <w:sz w:val="28"/>
          <w:highlight w:val="none"/>
        </w:rPr>
      </w:pPr>
      <w:r>
        <w:rPr>
          <w:rFonts w:hint="eastAsia" w:ascii="宋体" w:hAnsi="宋体"/>
          <w:color w:val="auto"/>
          <w:w w:val="80"/>
          <w:sz w:val="28"/>
          <w:highlight w:val="none"/>
        </w:rPr>
        <w:t>以下无正文。</w:t>
      </w:r>
    </w:p>
    <w:p>
      <w:pPr>
        <w:spacing w:line="400" w:lineRule="exact"/>
        <w:rPr>
          <w:rFonts w:ascii="宋体" w:hAnsi="宋体"/>
          <w:color w:val="auto"/>
          <w:w w:val="80"/>
          <w:sz w:val="28"/>
          <w:highlight w:val="none"/>
        </w:rPr>
      </w:pP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甲方（盖章）：黑牛食品（广州）有限公司    乙方（盖章）：</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授权签约人：                             授权签约人：</w:t>
      </w:r>
    </w:p>
    <w:p>
      <w:pPr>
        <w:spacing w:line="400" w:lineRule="exact"/>
        <w:ind w:firstLine="448" w:firstLineChars="200"/>
        <w:rPr>
          <w:rFonts w:ascii="宋体" w:hAnsi="宋体"/>
          <w:color w:val="auto"/>
          <w:w w:val="80"/>
          <w:sz w:val="28"/>
          <w:highlight w:val="none"/>
        </w:rPr>
      </w:pPr>
      <w:r>
        <w:rPr>
          <w:rFonts w:hint="eastAsia" w:ascii="宋体" w:hAnsi="宋体"/>
          <w:color w:val="auto"/>
          <w:w w:val="80"/>
          <w:sz w:val="28"/>
          <w:highlight w:val="none"/>
        </w:rPr>
        <w:t>签字日期：   年    月     日             签字日期：   年    月     日</w:t>
      </w:r>
    </w:p>
    <w:p>
      <w:pPr>
        <w:spacing w:line="360" w:lineRule="auto"/>
        <w:ind w:firstLine="448" w:firstLineChars="200"/>
        <w:rPr>
          <w:rFonts w:ascii="宋体" w:hAnsi="宋体"/>
          <w:color w:val="auto"/>
          <w:w w:val="80"/>
          <w:sz w:val="28"/>
          <w:highlight w:val="none"/>
        </w:rPr>
      </w:pPr>
    </w:p>
    <w:sectPr>
      <w:headerReference r:id="rId3" w:type="default"/>
      <w:footerReference r:id="rId5" w:type="default"/>
      <w:headerReference r:id="rId4" w:type="even"/>
      <w:pgSz w:w="11906" w:h="16838"/>
      <w:pgMar w:top="1361"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pPr w:leftFromText="187" w:rightFromText="187" w:vertAnchor="text" w:tblpY="1"/>
      <w:tblW w:w="0" w:type="auto"/>
      <w:tblInd w:w="0" w:type="dxa"/>
      <w:tblLayout w:type="fixed"/>
      <w:tblCellMar>
        <w:top w:w="0" w:type="dxa"/>
        <w:left w:w="108" w:type="dxa"/>
        <w:bottom w:w="0" w:type="dxa"/>
        <w:right w:w="108" w:type="dxa"/>
      </w:tblCellMar>
    </w:tblPr>
    <w:tblGrid>
      <w:gridCol w:w="4435"/>
      <w:gridCol w:w="985"/>
      <w:gridCol w:w="4434"/>
    </w:tblGrid>
    <w:tr>
      <w:tblPrEx>
        <w:tblCellMar>
          <w:top w:w="0" w:type="dxa"/>
          <w:left w:w="108" w:type="dxa"/>
          <w:bottom w:w="0" w:type="dxa"/>
          <w:right w:w="108" w:type="dxa"/>
        </w:tblCellMar>
      </w:tblPrEx>
      <w:trPr>
        <w:trHeight w:val="151" w:hRule="atLeast"/>
      </w:trPr>
      <w:tc>
        <w:tcPr>
          <w:tcW w:w="4435" w:type="dxa"/>
          <w:tcBorders>
            <w:bottom w:val="single" w:color="5B9BD5" w:sz="4" w:space="0"/>
          </w:tcBorders>
        </w:tcPr>
        <w:p>
          <w:pPr>
            <w:pStyle w:val="3"/>
            <w:rPr>
              <w:rFonts w:ascii="Calibri Light" w:hAnsi="Calibri Light"/>
              <w:b/>
              <w:bCs/>
            </w:rPr>
          </w:pPr>
        </w:p>
      </w:tc>
      <w:tc>
        <w:tcPr>
          <w:tcW w:w="985" w:type="dxa"/>
          <w:vMerge w:val="restart"/>
          <w:vAlign w:val="center"/>
        </w:tcPr>
        <w:p>
          <w:pPr>
            <w:pStyle w:val="6"/>
            <w:rPr>
              <w:rFonts w:ascii="Calibri Light" w:hAnsi="Calibri Light"/>
            </w:rPr>
          </w:pPr>
          <w:r>
            <w:rPr>
              <w:rFonts w:ascii="Calibri Light" w:hAnsi="Calibri Light"/>
              <w:b/>
              <w:lang w:val="zh-CN"/>
            </w:rPr>
            <w:t xml:space="preserve"> </w:t>
          </w:r>
          <w:r>
            <w:fldChar w:fldCharType="begin"/>
          </w:r>
          <w:r>
            <w:instrText xml:space="preserve"> PAGE  \* MERGEFORMAT </w:instrText>
          </w:r>
          <w:r>
            <w:fldChar w:fldCharType="separate"/>
          </w:r>
          <w:r>
            <w:rPr>
              <w:rFonts w:ascii="Calibri Light" w:hAnsi="Calibri Light"/>
              <w:b/>
              <w:lang w:val="zh-CN"/>
            </w:rPr>
            <w:t>3</w:t>
          </w:r>
          <w:r>
            <w:rPr>
              <w:rFonts w:ascii="Calibri Light" w:hAnsi="Calibri Light"/>
              <w:b/>
              <w:lang w:val="zh-CN"/>
            </w:rPr>
            <w:fldChar w:fldCharType="end"/>
          </w:r>
        </w:p>
      </w:tc>
      <w:tc>
        <w:tcPr>
          <w:tcW w:w="4434" w:type="dxa"/>
          <w:tcBorders>
            <w:bottom w:val="single" w:color="5B9BD5" w:sz="4" w:space="0"/>
          </w:tcBorders>
        </w:tcPr>
        <w:p>
          <w:pPr>
            <w:pStyle w:val="3"/>
            <w:rPr>
              <w:rFonts w:ascii="Calibri Light" w:hAnsi="Calibri Light"/>
              <w:b/>
              <w:bCs/>
            </w:rPr>
          </w:pPr>
        </w:p>
      </w:tc>
    </w:tr>
    <w:tr>
      <w:tblPrEx>
        <w:tblCellMar>
          <w:top w:w="0" w:type="dxa"/>
          <w:left w:w="108" w:type="dxa"/>
          <w:bottom w:w="0" w:type="dxa"/>
          <w:right w:w="108" w:type="dxa"/>
        </w:tblCellMar>
      </w:tblPrEx>
      <w:trPr>
        <w:trHeight w:val="150" w:hRule="atLeast"/>
      </w:trPr>
      <w:tc>
        <w:tcPr>
          <w:tcW w:w="4435" w:type="dxa"/>
          <w:tcBorders>
            <w:top w:val="single" w:color="5B9BD5" w:sz="4" w:space="0"/>
          </w:tcBorders>
        </w:tcPr>
        <w:p>
          <w:pPr>
            <w:pStyle w:val="3"/>
            <w:rPr>
              <w:rFonts w:ascii="Calibri Light" w:hAnsi="Calibri Light"/>
              <w:b/>
              <w:bCs/>
            </w:rPr>
          </w:pPr>
        </w:p>
      </w:tc>
      <w:tc>
        <w:tcPr>
          <w:tcW w:w="985" w:type="dxa"/>
          <w:vMerge w:val="continue"/>
        </w:tcPr>
        <w:p>
          <w:pPr>
            <w:pStyle w:val="3"/>
            <w:rPr>
              <w:rFonts w:ascii="Calibri Light" w:hAnsi="Calibri Light"/>
              <w:b/>
              <w:bCs/>
            </w:rPr>
          </w:pPr>
        </w:p>
      </w:tc>
      <w:tc>
        <w:tcPr>
          <w:tcW w:w="4434" w:type="dxa"/>
          <w:tcBorders>
            <w:top w:val="single" w:color="5B9BD5" w:sz="4" w:space="0"/>
          </w:tcBorders>
        </w:tcPr>
        <w:p>
          <w:pPr>
            <w:pStyle w:val="3"/>
            <w:rPr>
              <w:rFonts w:ascii="Calibri Light" w:hAnsi="Calibri Light"/>
              <w:b/>
              <w:bCs/>
            </w:rPr>
          </w:pP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BD0D64"/>
    <w:rsid w:val="0007738E"/>
    <w:rsid w:val="000C1E41"/>
    <w:rsid w:val="001A5A1C"/>
    <w:rsid w:val="001E7AC6"/>
    <w:rsid w:val="003B43E6"/>
    <w:rsid w:val="004958BC"/>
    <w:rsid w:val="0058212F"/>
    <w:rsid w:val="00B45274"/>
    <w:rsid w:val="00BF7CA3"/>
    <w:rsid w:val="065D6CB3"/>
    <w:rsid w:val="06F835EF"/>
    <w:rsid w:val="0FCF0B72"/>
    <w:rsid w:val="10DC67BD"/>
    <w:rsid w:val="125E67E8"/>
    <w:rsid w:val="12A25B55"/>
    <w:rsid w:val="1D363ABA"/>
    <w:rsid w:val="23757374"/>
    <w:rsid w:val="2E525C20"/>
    <w:rsid w:val="301D34E2"/>
    <w:rsid w:val="40F20661"/>
    <w:rsid w:val="4A3C2C21"/>
    <w:rsid w:val="4EA05FC0"/>
    <w:rsid w:val="4FE562F4"/>
    <w:rsid w:val="54BD0D64"/>
    <w:rsid w:val="572E3D18"/>
    <w:rsid w:val="5783765F"/>
    <w:rsid w:val="5B9C4738"/>
    <w:rsid w:val="5C1F092C"/>
    <w:rsid w:val="5F06399E"/>
    <w:rsid w:val="62F36D9F"/>
    <w:rsid w:val="650B1AD0"/>
    <w:rsid w:val="69815434"/>
    <w:rsid w:val="6EEE5719"/>
    <w:rsid w:val="725A6B83"/>
    <w:rsid w:val="76F55DB1"/>
    <w:rsid w:val="777D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745</Words>
  <Characters>4252</Characters>
  <Lines>35</Lines>
  <Paragraphs>9</Paragraphs>
  <TotalTime>35</TotalTime>
  <ScaleCrop>false</ScaleCrop>
  <LinksUpToDate>false</LinksUpToDate>
  <CharactersWithSpaces>4988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2021-03-04T07:20:00Z</dcterms:created>
  <dc:creator>shewq</dc:creator>
  <cp:lastModifiedBy>shewq</cp:lastModifiedBy>
  <dcterms:modified xsi:type="dcterms:W3CDTF">2021-03-10T06:34:52Z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